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EAEA" w:themeColor="accent3" w:themeTint="33"/>
  <w:body>
    <w:tbl>
      <w:tblPr>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4"/>
        <w:gridCol w:w="4335"/>
        <w:gridCol w:w="1277"/>
        <w:gridCol w:w="1844"/>
      </w:tblGrid>
      <w:tr w:rsidR="002461B8" w:rsidTr="00264266">
        <w:trPr>
          <w:trHeight w:val="2027"/>
        </w:trPr>
        <w:tc>
          <w:tcPr>
            <w:tcW w:w="2474" w:type="dxa"/>
            <w:tcBorders>
              <w:top w:val="thinThickLargeGap" w:sz="24" w:space="0" w:color="auto"/>
              <w:left w:val="thinThickLargeGap" w:sz="24" w:space="0" w:color="auto"/>
              <w:bottom w:val="thickThinLargeGap" w:sz="24" w:space="0" w:color="auto"/>
              <w:right w:val="nil"/>
            </w:tcBorders>
            <w:vAlign w:val="center"/>
            <w:hideMark/>
          </w:tcPr>
          <w:p w:rsidR="002461B8" w:rsidRDefault="002461B8">
            <w:pPr>
              <w:spacing w:after="0" w:line="240" w:lineRule="auto"/>
              <w:jc w:val="center"/>
            </w:pPr>
            <w:r>
              <w:rPr>
                <w:noProof/>
                <w:lang w:eastAsia="tr-TR"/>
              </w:rPr>
              <w:drawing>
                <wp:inline distT="0" distB="0" distL="0" distR="0">
                  <wp:extent cx="914400" cy="1095375"/>
                  <wp:effectExtent l="0" t="0" r="0" b="9525"/>
                  <wp:docPr id="3" name="Resim 3" desc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4" descr="Cl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inline>
              </w:drawing>
            </w:r>
          </w:p>
        </w:tc>
        <w:tc>
          <w:tcPr>
            <w:tcW w:w="7456" w:type="dxa"/>
            <w:gridSpan w:val="3"/>
            <w:tcBorders>
              <w:top w:val="thinThickLargeGap" w:sz="24" w:space="0" w:color="auto"/>
              <w:left w:val="nil"/>
              <w:bottom w:val="thickThinLargeGap" w:sz="24" w:space="0" w:color="auto"/>
              <w:right w:val="thickThinLargeGap" w:sz="24" w:space="0" w:color="auto"/>
            </w:tcBorders>
            <w:vAlign w:val="center"/>
            <w:hideMark/>
          </w:tcPr>
          <w:p w:rsidR="002461B8" w:rsidRDefault="002461B8">
            <w:pPr>
              <w:spacing w:after="0" w:line="240" w:lineRule="auto"/>
              <w:rPr>
                <w:rFonts w:ascii="Book Antiqua" w:hAnsi="Book Antiqua"/>
                <w:b/>
                <w:sz w:val="48"/>
              </w:rPr>
            </w:pPr>
            <w:r>
              <w:rPr>
                <w:rFonts w:ascii="Book Antiqua" w:hAnsi="Book Antiqua"/>
                <w:b/>
                <w:sz w:val="48"/>
              </w:rPr>
              <w:t>SAKARYA ÜNİVERSİTESİ</w:t>
            </w:r>
          </w:p>
        </w:tc>
      </w:tr>
      <w:tr w:rsidR="002461B8" w:rsidTr="00264266">
        <w:trPr>
          <w:trHeight w:val="1414"/>
        </w:trPr>
        <w:tc>
          <w:tcPr>
            <w:tcW w:w="2474" w:type="dxa"/>
            <w:tcBorders>
              <w:top w:val="thickThinLargeGap" w:sz="24" w:space="0" w:color="auto"/>
              <w:left w:val="thickThinLargeGap" w:sz="24" w:space="0" w:color="auto"/>
              <w:bottom w:val="nil"/>
              <w:right w:val="thickThinLargeGap" w:sz="24" w:space="0" w:color="auto"/>
            </w:tcBorders>
          </w:tcPr>
          <w:p w:rsidR="002461B8" w:rsidRDefault="002461B8">
            <w:pPr>
              <w:spacing w:after="0" w:line="360" w:lineRule="auto"/>
              <w:rPr>
                <w:rFonts w:ascii="Calibri" w:hAnsi="Calibri"/>
                <w:sz w:val="24"/>
              </w:rPr>
            </w:pPr>
          </w:p>
        </w:tc>
        <w:tc>
          <w:tcPr>
            <w:tcW w:w="7456" w:type="dxa"/>
            <w:gridSpan w:val="3"/>
            <w:tcBorders>
              <w:top w:val="thickThinLargeGap" w:sz="24" w:space="0" w:color="auto"/>
              <w:left w:val="thickThinLargeGap" w:sz="24" w:space="0" w:color="auto"/>
              <w:bottom w:val="nil"/>
              <w:right w:val="thickThinLargeGap" w:sz="24" w:space="0" w:color="auto"/>
            </w:tcBorders>
            <w:tcMar>
              <w:top w:w="0" w:type="dxa"/>
              <w:left w:w="397" w:type="dxa"/>
              <w:bottom w:w="0" w:type="dxa"/>
              <w:right w:w="108" w:type="dxa"/>
            </w:tcMar>
            <w:vAlign w:val="bottom"/>
            <w:hideMark/>
          </w:tcPr>
          <w:p w:rsidR="002461B8" w:rsidRPr="002461B8" w:rsidRDefault="002461B8">
            <w:pPr>
              <w:spacing w:after="0" w:line="360" w:lineRule="auto"/>
              <w:rPr>
                <w:rFonts w:ascii="Cambria" w:hAnsi="Cambria"/>
                <w:b/>
                <w:sz w:val="32"/>
              </w:rPr>
            </w:pPr>
            <w:r>
              <w:rPr>
                <w:rFonts w:ascii="Cambria" w:hAnsi="Cambria"/>
                <w:b/>
                <w:sz w:val="32"/>
              </w:rPr>
              <w:t>PANEL VERİ EKONOMETRİSİ</w:t>
            </w:r>
          </w:p>
        </w:tc>
      </w:tr>
      <w:tr w:rsidR="002461B8" w:rsidTr="00264266">
        <w:trPr>
          <w:trHeight w:val="657"/>
        </w:trPr>
        <w:tc>
          <w:tcPr>
            <w:tcW w:w="2474" w:type="dxa"/>
            <w:tcBorders>
              <w:top w:val="nil"/>
              <w:left w:val="thickThinLargeGap" w:sz="24" w:space="0" w:color="auto"/>
              <w:bottom w:val="nil"/>
              <w:right w:val="thickThinLargeGap" w:sz="24" w:space="0" w:color="auto"/>
            </w:tcBorders>
          </w:tcPr>
          <w:p w:rsidR="002461B8" w:rsidRDefault="002461B8">
            <w:pPr>
              <w:spacing w:after="0" w:line="360" w:lineRule="auto"/>
              <w:rPr>
                <w:sz w:val="24"/>
              </w:rPr>
            </w:pPr>
          </w:p>
        </w:tc>
        <w:tc>
          <w:tcPr>
            <w:tcW w:w="7456" w:type="dxa"/>
            <w:gridSpan w:val="3"/>
            <w:tcBorders>
              <w:top w:val="nil"/>
              <w:left w:val="thickThinLargeGap" w:sz="24" w:space="0" w:color="auto"/>
              <w:bottom w:val="nil"/>
              <w:right w:val="thickThinLargeGap" w:sz="24" w:space="0" w:color="auto"/>
            </w:tcBorders>
            <w:tcMar>
              <w:top w:w="0" w:type="dxa"/>
              <w:left w:w="397" w:type="dxa"/>
              <w:bottom w:w="0" w:type="dxa"/>
              <w:right w:w="108" w:type="dxa"/>
            </w:tcMar>
            <w:hideMark/>
          </w:tcPr>
          <w:p w:rsidR="002461B8" w:rsidRPr="002461B8" w:rsidRDefault="002461B8">
            <w:pPr>
              <w:spacing w:after="0" w:line="360" w:lineRule="auto"/>
              <w:rPr>
                <w:rFonts w:ascii="Arial Black" w:hAnsi="Arial Black" w:cs="Segoe UI"/>
                <w:sz w:val="16"/>
                <w:szCs w:val="16"/>
              </w:rPr>
            </w:pPr>
            <w:r>
              <w:rPr>
                <w:rFonts w:ascii="Arial Black" w:hAnsi="Arial Black" w:cs="Segoe UI"/>
                <w:sz w:val="16"/>
                <w:szCs w:val="16"/>
              </w:rPr>
              <w:t>2018 2019 BAHAR YARI YILI</w:t>
            </w:r>
          </w:p>
        </w:tc>
      </w:tr>
      <w:tr w:rsidR="002461B8" w:rsidTr="00264266">
        <w:trPr>
          <w:trHeight w:val="626"/>
        </w:trPr>
        <w:tc>
          <w:tcPr>
            <w:tcW w:w="2474" w:type="dxa"/>
            <w:tcBorders>
              <w:top w:val="nil"/>
              <w:left w:val="thickThinLargeGap" w:sz="24" w:space="0" w:color="auto"/>
              <w:bottom w:val="nil"/>
              <w:right w:val="thickThinLargeGap" w:sz="24" w:space="0" w:color="auto"/>
            </w:tcBorders>
          </w:tcPr>
          <w:p w:rsidR="002461B8" w:rsidRDefault="002461B8">
            <w:pPr>
              <w:spacing w:after="0" w:line="360" w:lineRule="auto"/>
              <w:rPr>
                <w:rFonts w:cs="Times New Roman"/>
                <w:szCs w:val="22"/>
              </w:rPr>
            </w:pPr>
          </w:p>
        </w:tc>
        <w:tc>
          <w:tcPr>
            <w:tcW w:w="7456" w:type="dxa"/>
            <w:gridSpan w:val="3"/>
            <w:tcBorders>
              <w:top w:val="nil"/>
              <w:left w:val="thickThinLargeGap" w:sz="24" w:space="0" w:color="auto"/>
              <w:bottom w:val="nil"/>
              <w:right w:val="thickThinLargeGap" w:sz="24" w:space="0" w:color="auto"/>
            </w:tcBorders>
            <w:tcMar>
              <w:top w:w="0" w:type="dxa"/>
              <w:left w:w="397" w:type="dxa"/>
              <w:bottom w:w="0" w:type="dxa"/>
              <w:right w:w="108" w:type="dxa"/>
            </w:tcMar>
            <w:vAlign w:val="bottom"/>
          </w:tcPr>
          <w:p w:rsidR="002461B8" w:rsidRDefault="002461B8">
            <w:pPr>
              <w:spacing w:after="0"/>
              <w:rPr>
                <w:b/>
              </w:rPr>
            </w:pPr>
          </w:p>
        </w:tc>
      </w:tr>
      <w:tr w:rsidR="002461B8" w:rsidTr="00264266">
        <w:trPr>
          <w:trHeight w:val="626"/>
        </w:trPr>
        <w:tc>
          <w:tcPr>
            <w:tcW w:w="2474" w:type="dxa"/>
            <w:tcBorders>
              <w:top w:val="nil"/>
              <w:left w:val="thickThinLargeGap" w:sz="24" w:space="0" w:color="auto"/>
              <w:bottom w:val="nil"/>
              <w:right w:val="thickThinLargeGap" w:sz="24" w:space="0" w:color="auto"/>
            </w:tcBorders>
          </w:tcPr>
          <w:p w:rsidR="002461B8" w:rsidRDefault="002461B8">
            <w:pPr>
              <w:spacing w:after="0" w:line="360" w:lineRule="auto"/>
              <w:rPr>
                <w:b/>
                <w:sz w:val="36"/>
              </w:rPr>
            </w:pPr>
          </w:p>
        </w:tc>
        <w:tc>
          <w:tcPr>
            <w:tcW w:w="7456" w:type="dxa"/>
            <w:gridSpan w:val="3"/>
            <w:tcBorders>
              <w:top w:val="nil"/>
              <w:left w:val="thickThinLargeGap" w:sz="24" w:space="0" w:color="auto"/>
              <w:bottom w:val="nil"/>
              <w:right w:val="thickThinLargeGap" w:sz="24" w:space="0" w:color="auto"/>
            </w:tcBorders>
            <w:tcMar>
              <w:top w:w="0" w:type="dxa"/>
              <w:left w:w="397" w:type="dxa"/>
              <w:bottom w:w="0" w:type="dxa"/>
              <w:right w:w="108" w:type="dxa"/>
            </w:tcMar>
          </w:tcPr>
          <w:p w:rsidR="002461B8" w:rsidRDefault="002461B8">
            <w:pPr>
              <w:spacing w:after="0" w:line="240" w:lineRule="auto"/>
              <w:rPr>
                <w:rFonts w:cs="Tahoma"/>
                <w:b/>
                <w:sz w:val="32"/>
              </w:rPr>
            </w:pPr>
          </w:p>
          <w:p w:rsidR="002461B8" w:rsidRDefault="002461B8">
            <w:pPr>
              <w:spacing w:after="0" w:line="240" w:lineRule="auto"/>
              <w:rPr>
                <w:rFonts w:cs="Tahoma"/>
                <w:b/>
                <w:sz w:val="32"/>
              </w:rPr>
            </w:pPr>
            <w:r>
              <w:rPr>
                <w:rFonts w:cs="Tahoma"/>
                <w:b/>
                <w:sz w:val="32"/>
              </w:rPr>
              <w:t>Ödev Raporu</w:t>
            </w:r>
          </w:p>
        </w:tc>
      </w:tr>
      <w:tr w:rsidR="002461B8" w:rsidTr="00264266">
        <w:trPr>
          <w:trHeight w:val="626"/>
        </w:trPr>
        <w:tc>
          <w:tcPr>
            <w:tcW w:w="2474" w:type="dxa"/>
            <w:tcBorders>
              <w:top w:val="nil"/>
              <w:left w:val="thickThinLargeGap" w:sz="24" w:space="0" w:color="auto"/>
              <w:bottom w:val="nil"/>
              <w:right w:val="thickThinLargeGap" w:sz="24" w:space="0" w:color="auto"/>
            </w:tcBorders>
          </w:tcPr>
          <w:p w:rsidR="002461B8" w:rsidRDefault="002461B8">
            <w:pPr>
              <w:spacing w:after="0" w:line="240" w:lineRule="auto"/>
              <w:rPr>
                <w:rFonts w:cs="Times New Roman"/>
                <w:sz w:val="24"/>
              </w:rPr>
            </w:pPr>
          </w:p>
        </w:tc>
        <w:tc>
          <w:tcPr>
            <w:tcW w:w="7456" w:type="dxa"/>
            <w:gridSpan w:val="3"/>
            <w:tcBorders>
              <w:top w:val="nil"/>
              <w:left w:val="thickThinLargeGap" w:sz="24" w:space="0" w:color="auto"/>
              <w:bottom w:val="single" w:sz="4" w:space="0" w:color="auto"/>
              <w:right w:val="thickThinLargeGap" w:sz="24" w:space="0" w:color="auto"/>
            </w:tcBorders>
            <w:tcMar>
              <w:top w:w="0" w:type="dxa"/>
              <w:left w:w="397" w:type="dxa"/>
              <w:bottom w:w="0" w:type="dxa"/>
              <w:right w:w="108" w:type="dxa"/>
            </w:tcMar>
            <w:vAlign w:val="bottom"/>
            <w:hideMark/>
          </w:tcPr>
          <w:p w:rsidR="00264266" w:rsidRDefault="00264266">
            <w:pPr>
              <w:spacing w:after="0" w:line="240" w:lineRule="auto"/>
              <w:rPr>
                <w:b/>
              </w:rPr>
            </w:pPr>
            <w:r>
              <w:rPr>
                <w:b/>
              </w:rPr>
              <w:t>HAZIRLAYAN ÖĞRENCİ:</w:t>
            </w:r>
          </w:p>
        </w:tc>
      </w:tr>
      <w:tr w:rsidR="002461B8" w:rsidTr="00264266">
        <w:trPr>
          <w:trHeight w:val="567"/>
        </w:trPr>
        <w:tc>
          <w:tcPr>
            <w:tcW w:w="2474" w:type="dxa"/>
            <w:vMerge w:val="restart"/>
            <w:tcBorders>
              <w:top w:val="nil"/>
              <w:left w:val="thickThinLargeGap" w:sz="24" w:space="0" w:color="auto"/>
              <w:bottom w:val="nil"/>
              <w:right w:val="thickThinLargeGap" w:sz="24" w:space="0" w:color="auto"/>
            </w:tcBorders>
            <w:vAlign w:val="center"/>
          </w:tcPr>
          <w:p w:rsidR="002461B8" w:rsidRDefault="002461B8">
            <w:pPr>
              <w:spacing w:after="0" w:line="240" w:lineRule="auto"/>
            </w:pPr>
          </w:p>
        </w:tc>
        <w:tc>
          <w:tcPr>
            <w:tcW w:w="4335" w:type="dxa"/>
            <w:tcBorders>
              <w:top w:val="single" w:sz="4" w:space="0" w:color="auto"/>
              <w:left w:val="thickThinLargeGap" w:sz="24" w:space="0" w:color="auto"/>
              <w:bottom w:val="single" w:sz="4" w:space="0" w:color="auto"/>
              <w:right w:val="single" w:sz="4" w:space="0" w:color="auto"/>
            </w:tcBorders>
            <w:tcMar>
              <w:top w:w="0" w:type="dxa"/>
              <w:left w:w="397" w:type="dxa"/>
              <w:bottom w:w="0" w:type="dxa"/>
              <w:right w:w="108" w:type="dxa"/>
            </w:tcMar>
            <w:vAlign w:val="center"/>
            <w:hideMark/>
          </w:tcPr>
          <w:p w:rsidR="002461B8" w:rsidRDefault="002461B8">
            <w:pPr>
              <w:spacing w:after="0" w:line="240" w:lineRule="auto"/>
              <w:rPr>
                <w:b/>
              </w:rPr>
            </w:pPr>
            <w:r>
              <w:rPr>
                <w:b/>
              </w:rPr>
              <w:t>Adı Soyadı</w:t>
            </w:r>
            <w:r w:rsidR="00264266">
              <w:rPr>
                <w:b/>
              </w:rPr>
              <w:t>: Gamze AKYÜZ</w:t>
            </w:r>
          </w:p>
        </w:tc>
        <w:tc>
          <w:tcPr>
            <w:tcW w:w="3121" w:type="dxa"/>
            <w:gridSpan w:val="2"/>
            <w:tcBorders>
              <w:top w:val="single" w:sz="4" w:space="0" w:color="auto"/>
              <w:left w:val="single" w:sz="4" w:space="0" w:color="auto"/>
              <w:bottom w:val="single" w:sz="4" w:space="0" w:color="auto"/>
              <w:right w:val="thickThinLargeGap" w:sz="24" w:space="0" w:color="auto"/>
            </w:tcBorders>
            <w:vAlign w:val="center"/>
            <w:hideMark/>
          </w:tcPr>
          <w:p w:rsidR="002461B8" w:rsidRDefault="002461B8">
            <w:pPr>
              <w:spacing w:after="0" w:line="240" w:lineRule="auto"/>
              <w:rPr>
                <w:b/>
              </w:rPr>
            </w:pPr>
            <w:r>
              <w:rPr>
                <w:b/>
              </w:rPr>
              <w:t>No</w:t>
            </w:r>
            <w:r w:rsidR="00264266">
              <w:rPr>
                <w:b/>
              </w:rPr>
              <w:t>: B151818003</w:t>
            </w:r>
          </w:p>
        </w:tc>
      </w:tr>
      <w:tr w:rsidR="00264266" w:rsidTr="00264266">
        <w:trPr>
          <w:trHeight w:val="589"/>
        </w:trPr>
        <w:tc>
          <w:tcPr>
            <w:tcW w:w="2474" w:type="dxa"/>
            <w:vMerge/>
            <w:tcBorders>
              <w:top w:val="nil"/>
              <w:left w:val="thickThinLargeGap" w:sz="24" w:space="0" w:color="auto"/>
              <w:bottom w:val="nil"/>
              <w:right w:val="thickThinLargeGap" w:sz="24" w:space="0" w:color="auto"/>
            </w:tcBorders>
            <w:vAlign w:val="center"/>
            <w:hideMark/>
          </w:tcPr>
          <w:p w:rsidR="00264266" w:rsidRDefault="00264266" w:rsidP="00264266">
            <w:pPr>
              <w:spacing w:after="0" w:line="240" w:lineRule="auto"/>
              <w:rPr>
                <w:rFonts w:cs="Times New Roman"/>
                <w:sz w:val="24"/>
                <w:szCs w:val="22"/>
                <w:lang w:val="en-US"/>
              </w:rPr>
            </w:pPr>
          </w:p>
        </w:tc>
        <w:tc>
          <w:tcPr>
            <w:tcW w:w="4335" w:type="dxa"/>
            <w:tcBorders>
              <w:top w:val="single" w:sz="4" w:space="0" w:color="auto"/>
              <w:left w:val="thickThinLargeGap" w:sz="24" w:space="0" w:color="auto"/>
              <w:bottom w:val="single" w:sz="4" w:space="0" w:color="000000"/>
              <w:right w:val="single" w:sz="4" w:space="0" w:color="auto"/>
            </w:tcBorders>
            <w:tcMar>
              <w:top w:w="0" w:type="dxa"/>
              <w:left w:w="397" w:type="dxa"/>
              <w:bottom w:w="0" w:type="dxa"/>
              <w:right w:w="108" w:type="dxa"/>
            </w:tcMar>
            <w:vAlign w:val="center"/>
          </w:tcPr>
          <w:p w:rsidR="00264266" w:rsidRDefault="00264266" w:rsidP="00264266">
            <w:pPr>
              <w:spacing w:after="0" w:line="240" w:lineRule="auto"/>
            </w:pPr>
            <w:r>
              <w:rPr>
                <w:b/>
              </w:rPr>
              <w:t>Adı Soyadı:</w:t>
            </w:r>
            <w:r>
              <w:rPr>
                <w:b/>
              </w:rPr>
              <w:t xml:space="preserve"> Hilal ŞAHİNER</w:t>
            </w:r>
          </w:p>
        </w:tc>
        <w:tc>
          <w:tcPr>
            <w:tcW w:w="3121" w:type="dxa"/>
            <w:gridSpan w:val="2"/>
            <w:tcBorders>
              <w:top w:val="single" w:sz="4" w:space="0" w:color="auto"/>
              <w:left w:val="single" w:sz="4" w:space="0" w:color="auto"/>
              <w:bottom w:val="single" w:sz="4" w:space="0" w:color="000000"/>
              <w:right w:val="thickThinLargeGap" w:sz="24" w:space="0" w:color="auto"/>
            </w:tcBorders>
            <w:vAlign w:val="center"/>
          </w:tcPr>
          <w:p w:rsidR="00264266" w:rsidRDefault="00264266" w:rsidP="00264266">
            <w:pPr>
              <w:spacing w:after="0" w:line="240" w:lineRule="auto"/>
              <w:rPr>
                <w:b/>
              </w:rPr>
            </w:pPr>
            <w:r>
              <w:rPr>
                <w:b/>
              </w:rPr>
              <w:t>No: B151818</w:t>
            </w:r>
          </w:p>
        </w:tc>
      </w:tr>
      <w:tr w:rsidR="00264266" w:rsidTr="00264266">
        <w:trPr>
          <w:trHeight w:val="397"/>
        </w:trPr>
        <w:tc>
          <w:tcPr>
            <w:tcW w:w="2474" w:type="dxa"/>
            <w:vMerge/>
            <w:tcBorders>
              <w:top w:val="nil"/>
              <w:left w:val="thickThinLargeGap" w:sz="24" w:space="0" w:color="auto"/>
              <w:bottom w:val="nil"/>
              <w:right w:val="thickThinLargeGap" w:sz="24" w:space="0" w:color="auto"/>
            </w:tcBorders>
            <w:vAlign w:val="center"/>
            <w:hideMark/>
          </w:tcPr>
          <w:p w:rsidR="00264266" w:rsidRDefault="00264266" w:rsidP="00264266">
            <w:pPr>
              <w:spacing w:after="0" w:line="240" w:lineRule="auto"/>
              <w:rPr>
                <w:rFonts w:cs="Times New Roman"/>
                <w:sz w:val="24"/>
                <w:szCs w:val="22"/>
                <w:lang w:val="en-US"/>
              </w:rPr>
            </w:pPr>
          </w:p>
        </w:tc>
        <w:tc>
          <w:tcPr>
            <w:tcW w:w="7456" w:type="dxa"/>
            <w:gridSpan w:val="3"/>
            <w:tcBorders>
              <w:top w:val="single" w:sz="4" w:space="0" w:color="auto"/>
              <w:left w:val="thickThinLargeGap" w:sz="24" w:space="0" w:color="auto"/>
              <w:bottom w:val="nil"/>
              <w:right w:val="thickThinLargeGap" w:sz="24" w:space="0" w:color="auto"/>
            </w:tcBorders>
            <w:tcMar>
              <w:top w:w="0" w:type="dxa"/>
              <w:left w:w="397" w:type="dxa"/>
              <w:bottom w:w="0" w:type="dxa"/>
              <w:right w:w="108" w:type="dxa"/>
            </w:tcMar>
            <w:vAlign w:val="center"/>
          </w:tcPr>
          <w:p w:rsidR="00264266" w:rsidRDefault="00264266" w:rsidP="00264266">
            <w:pPr>
              <w:spacing w:after="0" w:line="240" w:lineRule="auto"/>
            </w:pPr>
          </w:p>
        </w:tc>
      </w:tr>
      <w:tr w:rsidR="00264266" w:rsidTr="00264266">
        <w:trPr>
          <w:trHeight w:val="397"/>
        </w:trPr>
        <w:tc>
          <w:tcPr>
            <w:tcW w:w="2474" w:type="dxa"/>
            <w:vMerge/>
            <w:tcBorders>
              <w:top w:val="nil"/>
              <w:left w:val="thickThinLargeGap" w:sz="24" w:space="0" w:color="auto"/>
              <w:bottom w:val="nil"/>
              <w:right w:val="thickThinLargeGap" w:sz="24" w:space="0" w:color="auto"/>
            </w:tcBorders>
            <w:vAlign w:val="center"/>
            <w:hideMark/>
          </w:tcPr>
          <w:p w:rsidR="00264266" w:rsidRDefault="00264266" w:rsidP="00264266">
            <w:pPr>
              <w:spacing w:after="0" w:line="240" w:lineRule="auto"/>
              <w:rPr>
                <w:rFonts w:cs="Times New Roman"/>
                <w:sz w:val="24"/>
                <w:szCs w:val="22"/>
                <w:lang w:val="en-US"/>
              </w:rPr>
            </w:pPr>
          </w:p>
        </w:tc>
        <w:tc>
          <w:tcPr>
            <w:tcW w:w="7456" w:type="dxa"/>
            <w:gridSpan w:val="3"/>
            <w:tcBorders>
              <w:top w:val="nil"/>
              <w:left w:val="thickThinLargeGap" w:sz="24" w:space="0" w:color="auto"/>
              <w:bottom w:val="nil"/>
              <w:right w:val="thickThinLargeGap" w:sz="24" w:space="0" w:color="auto"/>
            </w:tcBorders>
            <w:tcMar>
              <w:top w:w="0" w:type="dxa"/>
              <w:left w:w="397" w:type="dxa"/>
              <w:bottom w:w="0" w:type="dxa"/>
              <w:right w:w="108" w:type="dxa"/>
            </w:tcMar>
            <w:vAlign w:val="center"/>
          </w:tcPr>
          <w:p w:rsidR="00264266" w:rsidRDefault="00264266" w:rsidP="00264266">
            <w:pPr>
              <w:spacing w:after="0" w:line="240" w:lineRule="auto"/>
              <w:rPr>
                <w:sz w:val="36"/>
              </w:rPr>
            </w:pPr>
          </w:p>
        </w:tc>
      </w:tr>
      <w:tr w:rsidR="00264266" w:rsidTr="00264266">
        <w:trPr>
          <w:trHeight w:val="803"/>
        </w:trPr>
        <w:tc>
          <w:tcPr>
            <w:tcW w:w="2474" w:type="dxa"/>
            <w:vMerge/>
            <w:tcBorders>
              <w:top w:val="nil"/>
              <w:left w:val="thickThinLargeGap" w:sz="24" w:space="0" w:color="auto"/>
              <w:bottom w:val="nil"/>
              <w:right w:val="thickThinLargeGap" w:sz="24" w:space="0" w:color="auto"/>
            </w:tcBorders>
            <w:vAlign w:val="center"/>
            <w:hideMark/>
          </w:tcPr>
          <w:p w:rsidR="00264266" w:rsidRDefault="00264266" w:rsidP="00264266">
            <w:pPr>
              <w:spacing w:after="0" w:line="240" w:lineRule="auto"/>
              <w:rPr>
                <w:rFonts w:cs="Times New Roman"/>
                <w:sz w:val="24"/>
                <w:szCs w:val="22"/>
                <w:lang w:val="en-US"/>
              </w:rPr>
            </w:pPr>
          </w:p>
        </w:tc>
        <w:tc>
          <w:tcPr>
            <w:tcW w:w="7456" w:type="dxa"/>
            <w:gridSpan w:val="3"/>
            <w:tcBorders>
              <w:top w:val="nil"/>
              <w:left w:val="thickThinLargeGap" w:sz="24" w:space="0" w:color="auto"/>
              <w:bottom w:val="nil"/>
              <w:right w:val="thickThinLargeGap" w:sz="24" w:space="0" w:color="auto"/>
            </w:tcBorders>
            <w:tcMar>
              <w:top w:w="0" w:type="dxa"/>
              <w:left w:w="397" w:type="dxa"/>
              <w:bottom w:w="0" w:type="dxa"/>
              <w:right w:w="108" w:type="dxa"/>
            </w:tcMar>
            <w:hideMark/>
          </w:tcPr>
          <w:p w:rsidR="00264266" w:rsidRDefault="00264266" w:rsidP="00264266">
            <w:pPr>
              <w:spacing w:after="0" w:line="240" w:lineRule="auto"/>
              <w:rPr>
                <w:sz w:val="24"/>
              </w:rPr>
            </w:pPr>
            <w:r>
              <w:t>Teslim Tarihi:</w:t>
            </w:r>
            <w:r>
              <w:t>08.05.2019</w:t>
            </w:r>
          </w:p>
        </w:tc>
      </w:tr>
      <w:tr w:rsidR="00264266" w:rsidTr="00264266">
        <w:trPr>
          <w:trHeight w:val="206"/>
        </w:trPr>
        <w:tc>
          <w:tcPr>
            <w:tcW w:w="2474" w:type="dxa"/>
            <w:tcBorders>
              <w:top w:val="nil"/>
              <w:left w:val="thickThinLargeGap" w:sz="24" w:space="0" w:color="auto"/>
              <w:bottom w:val="nil"/>
              <w:right w:val="thickThinLargeGap" w:sz="24" w:space="0" w:color="auto"/>
            </w:tcBorders>
            <w:vAlign w:val="bottom"/>
          </w:tcPr>
          <w:p w:rsidR="00264266" w:rsidRDefault="00264266" w:rsidP="00264266">
            <w:pPr>
              <w:spacing w:after="0" w:line="240" w:lineRule="auto"/>
              <w:rPr>
                <w:b/>
                <w:sz w:val="32"/>
              </w:rPr>
            </w:pPr>
          </w:p>
        </w:tc>
        <w:tc>
          <w:tcPr>
            <w:tcW w:w="7456" w:type="dxa"/>
            <w:gridSpan w:val="3"/>
            <w:tcBorders>
              <w:top w:val="nil"/>
              <w:left w:val="thickThinLargeGap" w:sz="24" w:space="0" w:color="auto"/>
              <w:bottom w:val="nil"/>
              <w:right w:val="thickThinLargeGap" w:sz="24" w:space="0" w:color="auto"/>
            </w:tcBorders>
            <w:tcMar>
              <w:top w:w="0" w:type="dxa"/>
              <w:left w:w="397" w:type="dxa"/>
              <w:bottom w:w="0" w:type="dxa"/>
              <w:right w:w="108" w:type="dxa"/>
            </w:tcMar>
            <w:vAlign w:val="bottom"/>
            <w:hideMark/>
          </w:tcPr>
          <w:p w:rsidR="00264266" w:rsidRDefault="00264266" w:rsidP="00264266">
            <w:pPr>
              <w:spacing w:after="0" w:line="240" w:lineRule="auto"/>
              <w:rPr>
                <w:b/>
                <w:sz w:val="32"/>
              </w:rPr>
            </w:pPr>
            <w:r>
              <w:rPr>
                <w:b/>
                <w:sz w:val="32"/>
              </w:rPr>
              <w:t>Öğretim Üyesi</w:t>
            </w:r>
          </w:p>
          <w:p w:rsidR="00264266" w:rsidRPr="00264266" w:rsidRDefault="00264266" w:rsidP="00264266">
            <w:pPr>
              <w:spacing w:after="0" w:line="240" w:lineRule="auto"/>
              <w:rPr>
                <w:rFonts w:ascii="Arial Black" w:hAnsi="Arial Black"/>
                <w:b/>
                <w:sz w:val="32"/>
              </w:rPr>
            </w:pPr>
            <w:r w:rsidRPr="00264266">
              <w:rPr>
                <w:rFonts w:ascii="Arial Black" w:hAnsi="Arial Black"/>
                <w:color w:val="4D4D4D"/>
                <w:shd w:val="clear" w:color="auto" w:fill="F7F8FA"/>
              </w:rPr>
              <w:t>Dr.</w:t>
            </w:r>
            <w:r w:rsidRPr="00264266">
              <w:rPr>
                <w:rFonts w:ascii="Arial Black" w:hAnsi="Arial Black"/>
                <w:color w:val="4D4D4D"/>
                <w:shd w:val="clear" w:color="auto" w:fill="F7F8FA"/>
              </w:rPr>
              <w:t xml:space="preserve"> </w:t>
            </w:r>
            <w:r w:rsidRPr="00264266">
              <w:rPr>
                <w:rFonts w:ascii="Arial Black" w:hAnsi="Arial Black"/>
                <w:color w:val="4D4D4D"/>
                <w:shd w:val="clear" w:color="auto" w:fill="F7F8FA"/>
              </w:rPr>
              <w:t>Ö</w:t>
            </w:r>
            <w:r>
              <w:rPr>
                <w:rFonts w:ascii="Arial Black" w:hAnsi="Arial Black"/>
                <w:color w:val="4D4D4D"/>
                <w:shd w:val="clear" w:color="auto" w:fill="F7F8FA"/>
              </w:rPr>
              <w:t>gr.</w:t>
            </w:r>
            <w:r w:rsidRPr="00264266">
              <w:rPr>
                <w:rFonts w:ascii="Arial Black" w:hAnsi="Arial Black"/>
                <w:color w:val="4D4D4D"/>
                <w:shd w:val="clear" w:color="auto" w:fill="F7F8FA"/>
              </w:rPr>
              <w:t xml:space="preserve"> </w:t>
            </w:r>
            <w:r w:rsidRPr="00264266">
              <w:rPr>
                <w:rFonts w:ascii="Arial Black" w:hAnsi="Arial Black"/>
                <w:color w:val="4D4D4D"/>
                <w:shd w:val="clear" w:color="auto" w:fill="F7F8FA"/>
              </w:rPr>
              <w:t>Üyesi AVNİ ÖNDER HANEDAR</w:t>
            </w:r>
          </w:p>
        </w:tc>
      </w:tr>
      <w:tr w:rsidR="00264266" w:rsidTr="00264266">
        <w:trPr>
          <w:trHeight w:val="663"/>
        </w:trPr>
        <w:tc>
          <w:tcPr>
            <w:tcW w:w="2474" w:type="dxa"/>
            <w:tcBorders>
              <w:top w:val="nil"/>
              <w:left w:val="thickThinLargeGap" w:sz="24" w:space="0" w:color="auto"/>
              <w:bottom w:val="thinThickLargeGap" w:sz="24" w:space="0" w:color="auto"/>
              <w:right w:val="thickThinLargeGap" w:sz="24" w:space="0" w:color="auto"/>
            </w:tcBorders>
          </w:tcPr>
          <w:p w:rsidR="00264266" w:rsidRDefault="00264266" w:rsidP="00264266">
            <w:pPr>
              <w:spacing w:after="0" w:line="240" w:lineRule="auto"/>
              <w:rPr>
                <w:sz w:val="28"/>
              </w:rPr>
            </w:pPr>
          </w:p>
        </w:tc>
        <w:tc>
          <w:tcPr>
            <w:tcW w:w="7456" w:type="dxa"/>
            <w:gridSpan w:val="3"/>
            <w:tcBorders>
              <w:top w:val="nil"/>
              <w:left w:val="thickThinLargeGap" w:sz="24" w:space="0" w:color="auto"/>
              <w:bottom w:val="thinThickLargeGap" w:sz="24" w:space="0" w:color="auto"/>
              <w:right w:val="thickThinLargeGap" w:sz="24" w:space="0" w:color="auto"/>
            </w:tcBorders>
            <w:tcMar>
              <w:top w:w="0" w:type="dxa"/>
              <w:left w:w="397" w:type="dxa"/>
              <w:bottom w:w="0" w:type="dxa"/>
              <w:right w:w="108" w:type="dxa"/>
            </w:tcMar>
            <w:hideMark/>
          </w:tcPr>
          <w:p w:rsidR="00264266" w:rsidRDefault="00264266" w:rsidP="00264266">
            <w:pPr>
              <w:spacing w:after="0" w:line="240" w:lineRule="auto"/>
              <w:rPr>
                <w:sz w:val="32"/>
              </w:rPr>
            </w:pPr>
          </w:p>
        </w:tc>
      </w:tr>
      <w:tr w:rsidR="00264266" w:rsidTr="00264266">
        <w:trPr>
          <w:trHeight w:val="1021"/>
        </w:trPr>
        <w:tc>
          <w:tcPr>
            <w:tcW w:w="2474"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264266" w:rsidRDefault="00264266" w:rsidP="00264266">
            <w:pPr>
              <w:spacing w:after="0" w:line="240" w:lineRule="auto"/>
              <w:jc w:val="center"/>
              <w:rPr>
                <w:rFonts w:ascii="Book Antiqua" w:hAnsi="Book Antiqua"/>
                <w:b/>
                <w:sz w:val="40"/>
              </w:rPr>
            </w:pPr>
            <w:r>
              <w:rPr>
                <w:rFonts w:ascii="Book Antiqua" w:hAnsi="Book Antiqua"/>
                <w:b/>
                <w:sz w:val="40"/>
              </w:rPr>
              <w:t>2019</w:t>
            </w:r>
          </w:p>
        </w:tc>
        <w:tc>
          <w:tcPr>
            <w:tcW w:w="4335" w:type="dxa"/>
            <w:tcBorders>
              <w:top w:val="thinThickLargeGap" w:sz="24" w:space="0" w:color="auto"/>
              <w:left w:val="thinThickLargeGap" w:sz="24" w:space="0" w:color="auto"/>
              <w:bottom w:val="thinThickLargeGap" w:sz="24" w:space="0" w:color="auto"/>
              <w:right w:val="nil"/>
            </w:tcBorders>
            <w:vAlign w:val="center"/>
          </w:tcPr>
          <w:p w:rsidR="00264266" w:rsidRDefault="00264266" w:rsidP="00264266">
            <w:pPr>
              <w:spacing w:after="0" w:line="240" w:lineRule="auto"/>
              <w:jc w:val="center"/>
              <w:rPr>
                <w:rFonts w:ascii="Book Antiqua" w:hAnsi="Book Antiqua"/>
                <w:b/>
                <w:sz w:val="40"/>
              </w:rPr>
            </w:pPr>
          </w:p>
        </w:tc>
        <w:tc>
          <w:tcPr>
            <w:tcW w:w="1277" w:type="dxa"/>
            <w:tcBorders>
              <w:top w:val="thinThickLargeGap" w:sz="24" w:space="0" w:color="auto"/>
              <w:left w:val="nil"/>
              <w:bottom w:val="thinThickLargeGap" w:sz="24" w:space="0" w:color="auto"/>
              <w:right w:val="nil"/>
            </w:tcBorders>
            <w:vAlign w:val="center"/>
          </w:tcPr>
          <w:p w:rsidR="00264266" w:rsidRDefault="00264266" w:rsidP="00264266">
            <w:pPr>
              <w:spacing w:after="0" w:line="240" w:lineRule="auto"/>
              <w:jc w:val="center"/>
              <w:rPr>
                <w:rFonts w:ascii="Book Antiqua" w:hAnsi="Book Antiqua"/>
                <w:b/>
                <w:sz w:val="40"/>
              </w:rPr>
            </w:pPr>
          </w:p>
        </w:tc>
        <w:tc>
          <w:tcPr>
            <w:tcW w:w="1844" w:type="dxa"/>
            <w:tcBorders>
              <w:top w:val="thinThickLargeGap" w:sz="24" w:space="0" w:color="auto"/>
              <w:left w:val="nil"/>
              <w:bottom w:val="thinThickLargeGap" w:sz="24" w:space="0" w:color="auto"/>
              <w:right w:val="thinThickLargeGap" w:sz="24" w:space="0" w:color="auto"/>
            </w:tcBorders>
            <w:vAlign w:val="center"/>
          </w:tcPr>
          <w:p w:rsidR="00264266" w:rsidRDefault="00264266" w:rsidP="00264266">
            <w:pPr>
              <w:spacing w:after="0" w:line="240" w:lineRule="auto"/>
              <w:jc w:val="center"/>
              <w:rPr>
                <w:rFonts w:ascii="Book Antiqua" w:hAnsi="Book Antiqua"/>
                <w:b/>
                <w:sz w:val="40"/>
              </w:rPr>
            </w:pPr>
          </w:p>
        </w:tc>
      </w:tr>
      <w:tr w:rsidR="00264266" w:rsidTr="00264266">
        <w:trPr>
          <w:trHeight w:val="1021"/>
        </w:trPr>
        <w:tc>
          <w:tcPr>
            <w:tcW w:w="9930" w:type="dxa"/>
            <w:gridSpan w:val="4"/>
            <w:tcBorders>
              <w:top w:val="thinThickLargeGap" w:sz="24" w:space="0" w:color="auto"/>
              <w:left w:val="thinThickLargeGap" w:sz="24" w:space="0" w:color="auto"/>
              <w:bottom w:val="thickThinLargeGap" w:sz="24" w:space="0" w:color="auto"/>
              <w:right w:val="thickThinLargeGap" w:sz="24" w:space="0" w:color="auto"/>
            </w:tcBorders>
            <w:vAlign w:val="center"/>
            <w:hideMark/>
          </w:tcPr>
          <w:p w:rsidR="00264266" w:rsidRDefault="00264266" w:rsidP="00264266">
            <w:pPr>
              <w:spacing w:after="0" w:line="240" w:lineRule="auto"/>
              <w:jc w:val="center"/>
              <w:rPr>
                <w:rFonts w:ascii="Calibri" w:hAnsi="Calibri"/>
                <w:b/>
                <w:sz w:val="32"/>
              </w:rPr>
            </w:pPr>
            <w:r>
              <w:rPr>
                <w:b/>
                <w:sz w:val="32"/>
              </w:rPr>
              <w:t>EKONOMETRİ PROGRAMI</w:t>
            </w:r>
          </w:p>
        </w:tc>
      </w:tr>
    </w:tbl>
    <w:p w:rsidR="002461B8" w:rsidRDefault="002461B8" w:rsidP="002461B8">
      <w:pPr>
        <w:tabs>
          <w:tab w:val="left" w:pos="6360"/>
        </w:tabs>
        <w:rPr>
          <w:rFonts w:ascii="Calibri" w:hAnsi="Calibri"/>
          <w:sz w:val="24"/>
          <w:szCs w:val="22"/>
          <w:lang w:val="en-US"/>
        </w:rPr>
      </w:pPr>
      <w:r>
        <w:t xml:space="preserve">                                        </w:t>
      </w:r>
      <w:r>
        <w:tab/>
      </w:r>
    </w:p>
    <w:p w:rsidR="002461B8" w:rsidRDefault="002461B8">
      <w:pPr>
        <w:rPr>
          <w:rFonts w:ascii="Copperplate Gothic Light" w:hAnsi="Copperplate Gothic Light"/>
          <w:sz w:val="40"/>
          <w:szCs w:val="40"/>
        </w:rPr>
      </w:pPr>
    </w:p>
    <w:p w:rsidR="004810AE" w:rsidRDefault="00FB0D8B">
      <w:pPr>
        <w:rPr>
          <w:rFonts w:ascii="Copperplate Gothic Light" w:hAnsi="Copperplate Gothic Light" w:cs="Calibri"/>
          <w:sz w:val="40"/>
          <w:szCs w:val="40"/>
        </w:rPr>
      </w:pPr>
      <w:r w:rsidRPr="00FB0D8B">
        <w:rPr>
          <w:rFonts w:ascii="Copperplate Gothic Light" w:hAnsi="Copperplate Gothic Light"/>
          <w:sz w:val="40"/>
          <w:szCs w:val="40"/>
        </w:rPr>
        <w:lastRenderedPageBreak/>
        <w:t>Türkiye’de yabancı banka giri</w:t>
      </w:r>
      <w:r w:rsidRPr="00FB0D8B">
        <w:rPr>
          <w:rFonts w:ascii="Calibri" w:hAnsi="Calibri" w:cs="Calibri"/>
          <w:sz w:val="40"/>
          <w:szCs w:val="40"/>
        </w:rPr>
        <w:t>ş</w:t>
      </w:r>
      <w:r w:rsidRPr="00FB0D8B">
        <w:rPr>
          <w:rFonts w:ascii="Copperplate Gothic Light" w:hAnsi="Copperplate Gothic Light" w:cs="Calibri"/>
          <w:sz w:val="40"/>
          <w:szCs w:val="40"/>
        </w:rPr>
        <w:t>i ve etkileri</w:t>
      </w:r>
    </w:p>
    <w:p w:rsidR="00FB0D8B" w:rsidRDefault="00FB0D8B">
      <w:r>
        <w:t>Bu çalışmada, günümüzde tartışmalara konu olan Türk bankacılık sektörüne yabancı sermaye girişlerinin nedenleri ve boyutları üzerinde durularak, giderek artmakta olan yabancı sermayeli bankaların, bankacılık sektörüne ve ekonomiye etkileri değerlendirilecektir.</w:t>
      </w:r>
    </w:p>
    <w:p w:rsidR="00630CCC" w:rsidRDefault="00630CCC"/>
    <w:p w:rsidR="00FB0D8B" w:rsidRPr="00FB0D8B" w:rsidRDefault="00FB0D8B" w:rsidP="00FB0D8B">
      <w:pPr>
        <w:rPr>
          <w:rFonts w:cstheme="minorHAnsi"/>
          <w:sz w:val="24"/>
          <w:szCs w:val="24"/>
        </w:rPr>
      </w:pPr>
      <w:r w:rsidRPr="00FB0D8B">
        <w:rPr>
          <w:rFonts w:cstheme="minorHAnsi"/>
          <w:sz w:val="24"/>
          <w:szCs w:val="24"/>
        </w:rPr>
        <w:t>Türkiye’de 1980 sonrasında yaşanılan finansal gelişmeler aşağıdaki</w:t>
      </w:r>
      <w:r w:rsidR="009F0C1D">
        <w:rPr>
          <w:rFonts w:cstheme="minorHAnsi"/>
          <w:sz w:val="24"/>
          <w:szCs w:val="24"/>
        </w:rPr>
        <w:t xml:space="preserve"> şekilde özetledik </w:t>
      </w:r>
    </w:p>
    <w:p w:rsidR="00FB0D8B" w:rsidRPr="00FB0D8B" w:rsidRDefault="00FB0D8B" w:rsidP="00FB0D8B">
      <w:pPr>
        <w:rPr>
          <w:rFonts w:cstheme="minorHAnsi"/>
          <w:sz w:val="24"/>
          <w:szCs w:val="24"/>
        </w:rPr>
      </w:pPr>
      <w:r w:rsidRPr="00FB0D8B">
        <w:rPr>
          <w:rFonts w:cstheme="minorHAnsi"/>
          <w:sz w:val="24"/>
          <w:szCs w:val="24"/>
        </w:rPr>
        <w:t>• Temmuz 1980 de, mevduat ve kredi faiz oranları serbest bırakıl</w:t>
      </w:r>
      <w:r w:rsidR="009F0C1D">
        <w:rPr>
          <w:rFonts w:cstheme="minorHAnsi"/>
          <w:sz w:val="24"/>
          <w:szCs w:val="24"/>
        </w:rPr>
        <w:t>dı.</w:t>
      </w:r>
    </w:p>
    <w:p w:rsidR="00FB0D8B" w:rsidRPr="00FB0D8B" w:rsidRDefault="00FB0D8B" w:rsidP="00FB0D8B">
      <w:pPr>
        <w:rPr>
          <w:rFonts w:cstheme="minorHAnsi"/>
          <w:sz w:val="24"/>
          <w:szCs w:val="24"/>
        </w:rPr>
      </w:pPr>
      <w:r w:rsidRPr="00FB0D8B">
        <w:rPr>
          <w:rFonts w:cstheme="minorHAnsi"/>
          <w:sz w:val="24"/>
          <w:szCs w:val="24"/>
        </w:rPr>
        <w:t xml:space="preserve">• Bankaların ve mevduat sahiplerinin döviz işlemlerine getirilen kısıtlamalar </w:t>
      </w:r>
    </w:p>
    <w:p w:rsidR="00FB0D8B" w:rsidRPr="00FB0D8B" w:rsidRDefault="009F0C1D" w:rsidP="00FB0D8B">
      <w:pPr>
        <w:rPr>
          <w:rFonts w:cstheme="minorHAnsi"/>
          <w:sz w:val="24"/>
          <w:szCs w:val="24"/>
        </w:rPr>
      </w:pPr>
      <w:r w:rsidRPr="00FB0D8B">
        <w:rPr>
          <w:rFonts w:cstheme="minorHAnsi"/>
          <w:sz w:val="24"/>
          <w:szCs w:val="24"/>
        </w:rPr>
        <w:t>K</w:t>
      </w:r>
      <w:r w:rsidR="00FB0D8B" w:rsidRPr="00FB0D8B">
        <w:rPr>
          <w:rFonts w:cstheme="minorHAnsi"/>
          <w:sz w:val="24"/>
          <w:szCs w:val="24"/>
        </w:rPr>
        <w:t>aldırıl</w:t>
      </w:r>
      <w:r>
        <w:rPr>
          <w:rFonts w:cstheme="minorHAnsi"/>
          <w:sz w:val="24"/>
          <w:szCs w:val="24"/>
        </w:rPr>
        <w:t>dı.</w:t>
      </w:r>
    </w:p>
    <w:p w:rsidR="00FB0D8B" w:rsidRPr="00FB0D8B" w:rsidRDefault="00FB0D8B" w:rsidP="00FB0D8B">
      <w:pPr>
        <w:rPr>
          <w:rFonts w:cstheme="minorHAnsi"/>
          <w:sz w:val="24"/>
          <w:szCs w:val="24"/>
        </w:rPr>
      </w:pPr>
      <w:r w:rsidRPr="00FB0D8B">
        <w:rPr>
          <w:rFonts w:cstheme="minorHAnsi"/>
          <w:sz w:val="24"/>
          <w:szCs w:val="24"/>
        </w:rPr>
        <w:t xml:space="preserve">• Kişilere portföylerinde döviz bulundurma </w:t>
      </w:r>
      <w:r w:rsidR="009F0C1D">
        <w:rPr>
          <w:rFonts w:cstheme="minorHAnsi"/>
          <w:sz w:val="24"/>
          <w:szCs w:val="24"/>
        </w:rPr>
        <w:t>hakkı verildi.</w:t>
      </w:r>
      <w:r w:rsidRPr="00FB0D8B">
        <w:rPr>
          <w:rFonts w:cstheme="minorHAnsi"/>
          <w:sz w:val="24"/>
          <w:szCs w:val="24"/>
        </w:rPr>
        <w:t xml:space="preserve"> </w:t>
      </w:r>
    </w:p>
    <w:p w:rsidR="00FB0D8B" w:rsidRPr="00FB0D8B" w:rsidRDefault="00FB0D8B" w:rsidP="00FB0D8B">
      <w:pPr>
        <w:rPr>
          <w:rFonts w:cstheme="minorHAnsi"/>
          <w:sz w:val="24"/>
          <w:szCs w:val="24"/>
        </w:rPr>
      </w:pPr>
      <w:r w:rsidRPr="00FB0D8B">
        <w:rPr>
          <w:rFonts w:cstheme="minorHAnsi"/>
          <w:sz w:val="24"/>
          <w:szCs w:val="24"/>
        </w:rPr>
        <w:t xml:space="preserve">• 1986 da İstanbul Menkul Kıymetler Borsası (İMKB) ve Sermaye Piyasası </w:t>
      </w:r>
    </w:p>
    <w:p w:rsidR="00FB0D8B" w:rsidRPr="00FB0D8B" w:rsidRDefault="00FB0D8B" w:rsidP="00FB0D8B">
      <w:pPr>
        <w:rPr>
          <w:rFonts w:cstheme="minorHAnsi"/>
          <w:sz w:val="24"/>
          <w:szCs w:val="24"/>
        </w:rPr>
      </w:pPr>
      <w:r w:rsidRPr="00FB0D8B">
        <w:rPr>
          <w:rFonts w:cstheme="minorHAnsi"/>
          <w:sz w:val="24"/>
          <w:szCs w:val="24"/>
        </w:rPr>
        <w:t>Kurulu (SPK), Nisan 1986’da Merkez Bankası nezdinde Bankal</w:t>
      </w:r>
      <w:r>
        <w:rPr>
          <w:rFonts w:cstheme="minorHAnsi"/>
          <w:sz w:val="24"/>
          <w:szCs w:val="24"/>
        </w:rPr>
        <w:t>a</w:t>
      </w:r>
      <w:r w:rsidRPr="00FB0D8B">
        <w:rPr>
          <w:rFonts w:cstheme="minorHAnsi"/>
          <w:sz w:val="24"/>
          <w:szCs w:val="24"/>
        </w:rPr>
        <w:t>r</w:t>
      </w:r>
      <w:r>
        <w:rPr>
          <w:rFonts w:cstheme="minorHAnsi"/>
          <w:sz w:val="24"/>
          <w:szCs w:val="24"/>
        </w:rPr>
        <w:t xml:space="preserve"> </w:t>
      </w:r>
      <w:r w:rsidRPr="00FB0D8B">
        <w:rPr>
          <w:rFonts w:cstheme="minorHAnsi"/>
          <w:sz w:val="24"/>
          <w:szCs w:val="24"/>
        </w:rPr>
        <w:t xml:space="preserve">arası Para </w:t>
      </w:r>
    </w:p>
    <w:p w:rsidR="009F0C1D" w:rsidRPr="00FB0D8B" w:rsidRDefault="00FB0D8B" w:rsidP="00FB0D8B">
      <w:pPr>
        <w:rPr>
          <w:rFonts w:cstheme="minorHAnsi"/>
          <w:sz w:val="24"/>
          <w:szCs w:val="24"/>
        </w:rPr>
      </w:pPr>
      <w:r w:rsidRPr="00FB0D8B">
        <w:rPr>
          <w:rFonts w:cstheme="minorHAnsi"/>
          <w:sz w:val="24"/>
          <w:szCs w:val="24"/>
        </w:rPr>
        <w:t xml:space="preserve">Piyasası ve 4 Şubat 1987 tarihinde de Açık Piyasa İşlemleri, Eylül 1988’de </w:t>
      </w:r>
    </w:p>
    <w:p w:rsidR="00FB0D8B" w:rsidRPr="00FB0D8B" w:rsidRDefault="00FB0D8B" w:rsidP="00FB0D8B">
      <w:pPr>
        <w:rPr>
          <w:rFonts w:cstheme="minorHAnsi"/>
          <w:sz w:val="24"/>
          <w:szCs w:val="24"/>
        </w:rPr>
      </w:pPr>
      <w:r w:rsidRPr="00FB0D8B">
        <w:rPr>
          <w:rFonts w:cstheme="minorHAnsi"/>
          <w:sz w:val="24"/>
          <w:szCs w:val="24"/>
        </w:rPr>
        <w:t xml:space="preserve">Döviz ve Efektif Piyasası, Nisan 1989’da ise Döviz Karşılığı Altın Piyasası </w:t>
      </w:r>
    </w:p>
    <w:p w:rsidR="00FB0D8B" w:rsidRDefault="00FB0D8B" w:rsidP="00FB0D8B">
      <w:pPr>
        <w:rPr>
          <w:rFonts w:cstheme="minorHAnsi"/>
          <w:sz w:val="24"/>
          <w:szCs w:val="24"/>
        </w:rPr>
      </w:pPr>
      <w:r w:rsidRPr="00FB0D8B">
        <w:rPr>
          <w:rFonts w:cstheme="minorHAnsi"/>
          <w:sz w:val="24"/>
          <w:szCs w:val="24"/>
        </w:rPr>
        <w:t>Kurulmuştu</w:t>
      </w:r>
      <w:r>
        <w:rPr>
          <w:rFonts w:cstheme="minorHAnsi"/>
          <w:sz w:val="24"/>
          <w:szCs w:val="24"/>
        </w:rPr>
        <w:t>r</w:t>
      </w:r>
      <w:r w:rsidR="009F0C1D">
        <w:rPr>
          <w:rFonts w:cstheme="minorHAnsi"/>
          <w:sz w:val="24"/>
          <w:szCs w:val="24"/>
        </w:rPr>
        <w:t>.</w:t>
      </w:r>
    </w:p>
    <w:p w:rsidR="00FB0D8B" w:rsidRDefault="00FB0D8B" w:rsidP="00FB0D8B">
      <w:pPr>
        <w:rPr>
          <w:rFonts w:cstheme="minorHAnsi"/>
          <w:sz w:val="24"/>
          <w:szCs w:val="24"/>
        </w:rPr>
      </w:pPr>
    </w:p>
    <w:p w:rsidR="009F0C1D" w:rsidRDefault="009F0C1D" w:rsidP="00FB0D8B">
      <w:pPr>
        <w:rPr>
          <w:rFonts w:cstheme="minorHAnsi"/>
          <w:sz w:val="24"/>
          <w:szCs w:val="24"/>
        </w:rPr>
      </w:pPr>
    </w:p>
    <w:p w:rsidR="00630CCC" w:rsidRDefault="00630CCC" w:rsidP="00FB0D8B">
      <w:pPr>
        <w:rPr>
          <w:rFonts w:cstheme="minorHAnsi"/>
          <w:sz w:val="24"/>
          <w:szCs w:val="24"/>
        </w:rPr>
      </w:pPr>
    </w:p>
    <w:p w:rsidR="00630CCC" w:rsidRDefault="00630CCC" w:rsidP="00FB0D8B">
      <w:pPr>
        <w:rPr>
          <w:rFonts w:cstheme="minorHAnsi"/>
          <w:sz w:val="24"/>
          <w:szCs w:val="24"/>
        </w:rPr>
      </w:pPr>
    </w:p>
    <w:p w:rsidR="00630CCC" w:rsidRDefault="00630CCC" w:rsidP="00FB0D8B">
      <w:pPr>
        <w:rPr>
          <w:rFonts w:cstheme="minorHAnsi"/>
          <w:sz w:val="24"/>
          <w:szCs w:val="24"/>
        </w:rPr>
      </w:pPr>
    </w:p>
    <w:p w:rsidR="00630CCC" w:rsidRDefault="00630CCC" w:rsidP="00FB0D8B">
      <w:pPr>
        <w:rPr>
          <w:rFonts w:cstheme="minorHAnsi"/>
          <w:sz w:val="24"/>
          <w:szCs w:val="24"/>
        </w:rPr>
      </w:pPr>
    </w:p>
    <w:p w:rsidR="00630CCC" w:rsidRDefault="00630CCC" w:rsidP="00FB0D8B">
      <w:pPr>
        <w:rPr>
          <w:rFonts w:cstheme="minorHAnsi"/>
          <w:sz w:val="24"/>
          <w:szCs w:val="24"/>
        </w:rPr>
      </w:pPr>
    </w:p>
    <w:p w:rsidR="009F0C1D" w:rsidRDefault="009F0C1D" w:rsidP="00FB0D8B">
      <w:pPr>
        <w:rPr>
          <w:rFonts w:cstheme="minorHAnsi"/>
          <w:sz w:val="24"/>
          <w:szCs w:val="24"/>
        </w:rPr>
      </w:pPr>
    </w:p>
    <w:p w:rsidR="00FB0D8B" w:rsidRDefault="00FB0D8B" w:rsidP="00FB0D8B">
      <w:pPr>
        <w:rPr>
          <w:rFonts w:cstheme="minorHAnsi"/>
          <w:sz w:val="24"/>
          <w:szCs w:val="24"/>
        </w:rPr>
      </w:pPr>
    </w:p>
    <w:p w:rsidR="00F070D3" w:rsidRDefault="00F070D3" w:rsidP="00FB0D8B">
      <w:pPr>
        <w:rPr>
          <w:rFonts w:cstheme="minorHAnsi"/>
          <w:sz w:val="24"/>
          <w:szCs w:val="24"/>
        </w:rPr>
      </w:pPr>
    </w:p>
    <w:p w:rsidR="00F070D3" w:rsidRDefault="00F070D3" w:rsidP="00FB0D8B">
      <w:pPr>
        <w:rPr>
          <w:rFonts w:cstheme="minorHAnsi"/>
          <w:sz w:val="24"/>
          <w:szCs w:val="24"/>
        </w:rPr>
      </w:pPr>
    </w:p>
    <w:p w:rsidR="00264266" w:rsidRDefault="00264266" w:rsidP="00FB0D8B">
      <w:pPr>
        <w:rPr>
          <w:rFonts w:ascii="Arial Black" w:hAnsi="Arial Black" w:cs="Calibri"/>
          <w:sz w:val="24"/>
          <w:szCs w:val="24"/>
        </w:rPr>
      </w:pPr>
    </w:p>
    <w:p w:rsidR="00264266" w:rsidRDefault="00264266" w:rsidP="00FB0D8B">
      <w:pPr>
        <w:rPr>
          <w:rFonts w:ascii="Arial Black" w:hAnsi="Arial Black" w:cs="Calibri"/>
          <w:sz w:val="24"/>
          <w:szCs w:val="24"/>
        </w:rPr>
      </w:pPr>
    </w:p>
    <w:p w:rsidR="00264266" w:rsidRDefault="00264266" w:rsidP="00FB0D8B">
      <w:pPr>
        <w:rPr>
          <w:rFonts w:ascii="Arial Black" w:hAnsi="Arial Black" w:cs="Calibri"/>
          <w:sz w:val="24"/>
          <w:szCs w:val="24"/>
        </w:rPr>
      </w:pPr>
    </w:p>
    <w:p w:rsidR="00001968" w:rsidRDefault="00001968" w:rsidP="00FB0D8B">
      <w:pPr>
        <w:rPr>
          <w:rFonts w:ascii="Arial Black" w:hAnsi="Arial Black" w:cs="Calibri"/>
          <w:sz w:val="24"/>
          <w:szCs w:val="24"/>
        </w:rPr>
      </w:pPr>
    </w:p>
    <w:p w:rsidR="00F070D3" w:rsidRDefault="00630CCC" w:rsidP="00FB0D8B">
      <w:pPr>
        <w:rPr>
          <w:rFonts w:ascii="Arial Black" w:hAnsi="Arial Black" w:cs="Calibri"/>
          <w:sz w:val="24"/>
          <w:szCs w:val="24"/>
        </w:rPr>
      </w:pPr>
      <w:r w:rsidRPr="00630CCC">
        <w:rPr>
          <w:rFonts w:ascii="Arial Black" w:hAnsi="Arial Black" w:cs="Calibri"/>
          <w:sz w:val="24"/>
          <w:szCs w:val="24"/>
        </w:rPr>
        <w:lastRenderedPageBreak/>
        <w:t>Literatür Taraması</w:t>
      </w:r>
    </w:p>
    <w:p w:rsidR="00630CCC" w:rsidRDefault="00630CCC" w:rsidP="00FB0D8B">
      <w:pPr>
        <w:rPr>
          <w:rFonts w:cstheme="minorHAnsi"/>
          <w:sz w:val="24"/>
          <w:szCs w:val="24"/>
        </w:rPr>
      </w:pPr>
      <w:r w:rsidRPr="00630CCC">
        <w:rPr>
          <w:rFonts w:cstheme="minorHAnsi"/>
          <w:sz w:val="24"/>
          <w:szCs w:val="24"/>
        </w:rPr>
        <w:t>L</w:t>
      </w:r>
      <w:r w:rsidR="00264266">
        <w:rPr>
          <w:rFonts w:cstheme="minorHAnsi"/>
          <w:sz w:val="24"/>
          <w:szCs w:val="24"/>
        </w:rPr>
        <w:t xml:space="preserve">EVİNE </w:t>
      </w:r>
      <w:r w:rsidRPr="00630CCC">
        <w:rPr>
          <w:rFonts w:cstheme="minorHAnsi"/>
          <w:sz w:val="24"/>
          <w:szCs w:val="24"/>
        </w:rPr>
        <w:t>(1996) yabancı bankaların; i) yerel finansal piyasalarda bankaların rekabetini artırarak ve modern bankacılık ve teknolojik uygulamalarını sağlayarak finansal hizmetlerin kalitesini ve ulaşı</w:t>
      </w:r>
      <w:r w:rsidR="00264266">
        <w:rPr>
          <w:rFonts w:cstheme="minorHAnsi"/>
          <w:sz w:val="24"/>
          <w:szCs w:val="24"/>
        </w:rPr>
        <w:t xml:space="preserve">labilirliği </w:t>
      </w:r>
      <w:r w:rsidRPr="00630CCC">
        <w:rPr>
          <w:rFonts w:cstheme="minorHAnsi"/>
          <w:sz w:val="24"/>
          <w:szCs w:val="24"/>
        </w:rPr>
        <w:t xml:space="preserve">  arttırabileceğini; ii) yasal çerçeve ve bankacılık düzenlemelerinin gelişmesini teşvik edebileceğini; iii) ülkenin uluslararası sermayeye erişimini kolaylaştırabileceğini özellikle belirtmiştir (</w:t>
      </w:r>
      <w:r w:rsidR="00264266">
        <w:rPr>
          <w:rFonts w:cstheme="minorHAnsi"/>
          <w:sz w:val="24"/>
          <w:szCs w:val="24"/>
        </w:rPr>
        <w:t xml:space="preserve"> </w:t>
      </w:r>
      <w:r w:rsidRPr="00630CCC">
        <w:rPr>
          <w:rFonts w:cstheme="minorHAnsi"/>
          <w:sz w:val="24"/>
          <w:szCs w:val="24"/>
        </w:rPr>
        <w:t>C</w:t>
      </w:r>
      <w:r w:rsidR="00264266">
        <w:rPr>
          <w:rFonts w:cstheme="minorHAnsi"/>
          <w:sz w:val="24"/>
          <w:szCs w:val="24"/>
        </w:rPr>
        <w:t xml:space="preserve">LASESS </w:t>
      </w:r>
      <w:r w:rsidRPr="00630CCC">
        <w:rPr>
          <w:rFonts w:cstheme="minorHAnsi"/>
          <w:sz w:val="24"/>
          <w:szCs w:val="24"/>
        </w:rPr>
        <w:t>ve diğerleri: 2001, 892).</w:t>
      </w:r>
    </w:p>
    <w:p w:rsidR="00630CCC" w:rsidRDefault="00630CCC" w:rsidP="00FB0D8B">
      <w:pPr>
        <w:rPr>
          <w:rFonts w:cstheme="minorHAnsi"/>
          <w:sz w:val="24"/>
          <w:szCs w:val="24"/>
        </w:rPr>
      </w:pPr>
      <w:r w:rsidRPr="00630CCC">
        <w:rPr>
          <w:rFonts w:cstheme="minorHAnsi"/>
          <w:sz w:val="24"/>
          <w:szCs w:val="24"/>
        </w:rPr>
        <w:t>Denizer (2000) yabancı bankaların yerel projeleri finanse etmek için dış sermayeyi cezp etmede işlevsel olabileceğini ifade etmiştir. Fakat yabancı banka girişlerinin Türkiye’de karlılık, etkinlik, pazar yapısı ve diğer kalitatif değerler gibi önemli konular üzerindeki etkisinin detaylı bir analizini sunamamıştır (Denizer: 2000, 3).</w:t>
      </w:r>
    </w:p>
    <w:p w:rsidR="00630CCC" w:rsidRDefault="00630CCC" w:rsidP="00630CCC">
      <w:pPr>
        <w:rPr>
          <w:rFonts w:cstheme="minorHAnsi"/>
          <w:sz w:val="24"/>
          <w:szCs w:val="24"/>
        </w:rPr>
      </w:pPr>
      <w:r w:rsidRPr="00630CCC">
        <w:rPr>
          <w:rFonts w:cstheme="minorHAnsi"/>
          <w:sz w:val="24"/>
          <w:szCs w:val="24"/>
        </w:rPr>
        <w:t xml:space="preserve"> 1980-1997 yılları arasındaki finansal liberal, sektöre giriş konusundaki engellerin kaldırılması ve faiz oranlarının kontrol edilmesinden vazgeçilmesi Denizer (1999)’e göre Türk bankacılık sistemine yeni yabancı ve yerli banka girişini özendirmiştir. 1989 yılında sermaye hareketlerinin serbestleştirilmesi Türk bankacılık sistemini dış dünya ile daha çok ilişkili hale getirmiştir (Yayla, Kaya ve Ekmen: 2005, 20).</w:t>
      </w:r>
    </w:p>
    <w:p w:rsidR="00630CCC" w:rsidRDefault="00630CCC" w:rsidP="00630CCC">
      <w:pPr>
        <w:rPr>
          <w:rFonts w:cstheme="minorHAnsi"/>
          <w:sz w:val="24"/>
          <w:szCs w:val="24"/>
        </w:rPr>
      </w:pPr>
      <w:r>
        <w:rPr>
          <w:rFonts w:cstheme="minorHAnsi"/>
          <w:sz w:val="24"/>
          <w:szCs w:val="24"/>
        </w:rPr>
        <w:t>I</w:t>
      </w:r>
      <w:r w:rsidRPr="00630CCC">
        <w:rPr>
          <w:rFonts w:cstheme="minorHAnsi"/>
          <w:sz w:val="24"/>
          <w:szCs w:val="24"/>
        </w:rPr>
        <w:t>şık ve diğerleri (2003) çalışmalarında, 1981-1996 yılları arasında Türk bankacılık sektöründe etkinlik konusunu ele almış ve sektöre yeni giren  bankalarla kurulu bankaları söz konusu açıdan kıyaslamışlardır.</w:t>
      </w:r>
    </w:p>
    <w:p w:rsidR="009A56FC" w:rsidRDefault="00264266" w:rsidP="00630CCC">
      <w:r>
        <w:rPr>
          <w:rFonts w:cstheme="minorHAnsi"/>
          <w:sz w:val="24"/>
          <w:szCs w:val="24"/>
        </w:rPr>
        <w:t>Y</w:t>
      </w:r>
      <w:r w:rsidR="00630CCC" w:rsidRPr="00630CCC">
        <w:rPr>
          <w:rFonts w:cstheme="minorHAnsi"/>
          <w:sz w:val="24"/>
          <w:szCs w:val="24"/>
        </w:rPr>
        <w:t>abancı bankaların küçük ve orta ölçekli girişimcileri ihmal ederek daha çok büyük şirketlere yöneldiğini iddia etmiştir. Aynı zamanda bu çalışmada yabancı bank</w:t>
      </w:r>
      <w:r>
        <w:rPr>
          <w:rFonts w:cstheme="minorHAnsi"/>
          <w:sz w:val="24"/>
          <w:szCs w:val="24"/>
        </w:rPr>
        <w:t>a gi</w:t>
      </w:r>
      <w:r w:rsidR="00630CCC" w:rsidRPr="00630CCC">
        <w:rPr>
          <w:rFonts w:cstheme="minorHAnsi"/>
          <w:sz w:val="24"/>
          <w:szCs w:val="24"/>
        </w:rPr>
        <w:t>rişlerinin ulusal ekonomiye zarar veriyor mu sorusuna cevap aramaktadır.</w:t>
      </w:r>
      <w:r w:rsidR="009A56FC" w:rsidRPr="009A56FC">
        <w:t xml:space="preserve"> </w:t>
      </w:r>
    </w:p>
    <w:p w:rsidR="009A56FC" w:rsidRDefault="009A56FC" w:rsidP="00630CCC"/>
    <w:p w:rsidR="009A56FC" w:rsidRDefault="009A56FC" w:rsidP="00630CCC"/>
    <w:p w:rsidR="009A56FC" w:rsidRDefault="009A56FC" w:rsidP="00630CCC"/>
    <w:p w:rsidR="00630CCC" w:rsidRDefault="009A56FC" w:rsidP="00630CCC">
      <w:pPr>
        <w:rPr>
          <w:rFonts w:cstheme="minorHAnsi"/>
          <w:sz w:val="24"/>
          <w:szCs w:val="24"/>
        </w:rPr>
      </w:pPr>
      <w:r w:rsidRPr="009A56FC">
        <w:rPr>
          <w:rFonts w:cstheme="minorHAnsi"/>
          <w:sz w:val="24"/>
          <w:szCs w:val="24"/>
        </w:rPr>
        <w:t>Literatürde ayrıca, yabancı banka girişlerinin genel olarak bir ülkeye katkı sağlayacağının da altı çizilmiştir. Özellikle, yabancı bankaların rekabet ortamı yaratması nedeniyle ulusal bankaların rekabete uyum çabası içinde verimliliklerinin arttığı, ancak söz konusu girişlerle daha istikrarlı bir bankacılık sistemine ulaşıp ulaşmadığı konusunun çok net olup olmadığı ifade edilmiştir.</w:t>
      </w:r>
    </w:p>
    <w:p w:rsidR="009A56FC" w:rsidRDefault="009A56FC" w:rsidP="00630CCC">
      <w:pPr>
        <w:rPr>
          <w:rFonts w:cstheme="minorHAnsi"/>
          <w:sz w:val="24"/>
          <w:szCs w:val="24"/>
        </w:rPr>
      </w:pPr>
    </w:p>
    <w:p w:rsidR="009A56FC" w:rsidRDefault="009A56FC" w:rsidP="00630CCC">
      <w:pPr>
        <w:rPr>
          <w:rFonts w:cstheme="minorHAnsi"/>
          <w:sz w:val="24"/>
          <w:szCs w:val="24"/>
        </w:rPr>
      </w:pPr>
    </w:p>
    <w:p w:rsidR="009A56FC" w:rsidRDefault="009A56FC" w:rsidP="00630CCC">
      <w:pPr>
        <w:rPr>
          <w:rFonts w:cstheme="minorHAnsi"/>
          <w:sz w:val="24"/>
          <w:szCs w:val="24"/>
        </w:rPr>
      </w:pPr>
    </w:p>
    <w:p w:rsidR="009A56FC" w:rsidRPr="00630CCC" w:rsidRDefault="009A56FC" w:rsidP="00630CCC">
      <w:pPr>
        <w:rPr>
          <w:rFonts w:cstheme="minorHAnsi"/>
          <w:sz w:val="24"/>
          <w:szCs w:val="24"/>
        </w:rPr>
      </w:pPr>
    </w:p>
    <w:p w:rsidR="00842D80" w:rsidRDefault="00842D80" w:rsidP="00842D80">
      <w:pPr>
        <w:rPr>
          <w:rFonts w:cstheme="minorHAnsi"/>
          <w:sz w:val="24"/>
          <w:szCs w:val="24"/>
        </w:rPr>
      </w:pPr>
    </w:p>
    <w:p w:rsidR="009A56FC" w:rsidRDefault="009A56FC" w:rsidP="00842D80">
      <w:pPr>
        <w:rPr>
          <w:rFonts w:cstheme="minorHAnsi"/>
          <w:sz w:val="24"/>
          <w:szCs w:val="24"/>
        </w:rPr>
      </w:pPr>
    </w:p>
    <w:p w:rsidR="00842D80" w:rsidRPr="00842D80" w:rsidRDefault="00842D80" w:rsidP="00842D80">
      <w:pPr>
        <w:rPr>
          <w:rFonts w:cstheme="minorHAnsi"/>
          <w:sz w:val="24"/>
          <w:szCs w:val="24"/>
        </w:rPr>
      </w:pPr>
      <w:r w:rsidRPr="00842D80">
        <w:rPr>
          <w:rFonts w:cstheme="minorHAnsi"/>
          <w:sz w:val="24"/>
          <w:szCs w:val="24"/>
        </w:rPr>
        <w:lastRenderedPageBreak/>
        <w:t>Küreselleşme olgusu ile birlikte son dönemlerde Türk bankacılık sektörüne de yabancıların ilgisi artmış ve bu ilginin artmasında (BDDK: 2005, 48);</w:t>
      </w:r>
    </w:p>
    <w:p w:rsidR="00842D80" w:rsidRPr="00842D80" w:rsidRDefault="00842D80" w:rsidP="00842D80">
      <w:pPr>
        <w:rPr>
          <w:rFonts w:cstheme="minorHAnsi"/>
          <w:sz w:val="24"/>
          <w:szCs w:val="24"/>
        </w:rPr>
      </w:pPr>
      <w:r w:rsidRPr="00842D80">
        <w:rPr>
          <w:rFonts w:cstheme="minorHAnsi"/>
          <w:sz w:val="24"/>
          <w:szCs w:val="24"/>
        </w:rPr>
        <w:t>• Makroekonomik ortamdaki iyileşme ve istikrar,</w:t>
      </w:r>
    </w:p>
    <w:p w:rsidR="00842D80" w:rsidRPr="00842D80" w:rsidRDefault="00842D80" w:rsidP="00842D80">
      <w:pPr>
        <w:rPr>
          <w:rFonts w:cstheme="minorHAnsi"/>
          <w:sz w:val="24"/>
          <w:szCs w:val="24"/>
        </w:rPr>
      </w:pPr>
      <w:r w:rsidRPr="00842D80">
        <w:rPr>
          <w:rFonts w:cstheme="minorHAnsi"/>
          <w:sz w:val="24"/>
          <w:szCs w:val="24"/>
        </w:rPr>
        <w:t>• Avrupa Birliği ile bütünleşme süreci,</w:t>
      </w:r>
    </w:p>
    <w:p w:rsidR="00842D80" w:rsidRPr="00842D80" w:rsidRDefault="00842D80" w:rsidP="00842D80">
      <w:pPr>
        <w:rPr>
          <w:rFonts w:cstheme="minorHAnsi"/>
          <w:sz w:val="24"/>
          <w:szCs w:val="24"/>
        </w:rPr>
      </w:pPr>
      <w:r w:rsidRPr="00842D80">
        <w:rPr>
          <w:rFonts w:cstheme="minorHAnsi"/>
          <w:sz w:val="24"/>
          <w:szCs w:val="24"/>
        </w:rPr>
        <w:t>• İleriye yönelik olumlu beklentiler,</w:t>
      </w:r>
    </w:p>
    <w:p w:rsidR="00842D80" w:rsidRPr="00842D80" w:rsidRDefault="00842D80" w:rsidP="00842D80">
      <w:pPr>
        <w:rPr>
          <w:rFonts w:cstheme="minorHAnsi"/>
          <w:sz w:val="24"/>
          <w:szCs w:val="24"/>
        </w:rPr>
      </w:pPr>
      <w:r w:rsidRPr="00842D80">
        <w:rPr>
          <w:rFonts w:cstheme="minorHAnsi"/>
          <w:sz w:val="24"/>
          <w:szCs w:val="24"/>
        </w:rPr>
        <w:t>• Sektörde gerçekleştirilen reformlar sayesinde sağlanan gelişmeler,</w:t>
      </w:r>
    </w:p>
    <w:p w:rsidR="00842D80" w:rsidRPr="00842D80" w:rsidRDefault="00842D80" w:rsidP="00842D80">
      <w:pPr>
        <w:rPr>
          <w:rFonts w:cstheme="minorHAnsi"/>
          <w:sz w:val="24"/>
          <w:szCs w:val="24"/>
        </w:rPr>
      </w:pPr>
      <w:r w:rsidRPr="00842D80">
        <w:rPr>
          <w:rFonts w:cstheme="minorHAnsi"/>
          <w:sz w:val="24"/>
          <w:szCs w:val="24"/>
        </w:rPr>
        <w:t>• Düzenleyici ve denetleyici ortamda sağlanan gelişmeler,</w:t>
      </w:r>
    </w:p>
    <w:p w:rsidR="00842D80" w:rsidRDefault="00842D80" w:rsidP="00842D80">
      <w:pPr>
        <w:rPr>
          <w:rFonts w:cstheme="minorHAnsi"/>
          <w:sz w:val="24"/>
          <w:szCs w:val="24"/>
        </w:rPr>
      </w:pPr>
      <w:r w:rsidRPr="00842D80">
        <w:rPr>
          <w:rFonts w:cstheme="minorHAnsi"/>
          <w:sz w:val="24"/>
          <w:szCs w:val="24"/>
        </w:rPr>
        <w:t>• Ekonomik gelişmelere paralel olarak finans sektörüne artan istikrar ve güven</w:t>
      </w:r>
      <w:r>
        <w:rPr>
          <w:rFonts w:cstheme="minorHAnsi"/>
          <w:sz w:val="24"/>
          <w:szCs w:val="24"/>
        </w:rPr>
        <w:t xml:space="preserve"> etkili olmuştur.</w:t>
      </w:r>
    </w:p>
    <w:p w:rsidR="00842D80" w:rsidRDefault="00842D80" w:rsidP="00842D80">
      <w:pPr>
        <w:rPr>
          <w:rFonts w:cstheme="minorHAnsi"/>
          <w:sz w:val="24"/>
          <w:szCs w:val="24"/>
        </w:rPr>
      </w:pPr>
      <w:r w:rsidRPr="00842D80">
        <w:rPr>
          <w:rFonts w:cstheme="minorHAnsi"/>
          <w:sz w:val="24"/>
          <w:szCs w:val="24"/>
        </w:rPr>
        <w:t>Yabancı banka alımlarının ülke ekonomisine yaratacağı etkiler hakkında farklı görüşler mevcut olmakla birlikte olası faydaları (BDDK: 2005, 52);</w:t>
      </w:r>
    </w:p>
    <w:p w:rsidR="00842D80" w:rsidRPr="00842D80" w:rsidRDefault="00842D80" w:rsidP="00842D80">
      <w:pPr>
        <w:rPr>
          <w:rFonts w:cstheme="minorHAnsi"/>
          <w:sz w:val="24"/>
          <w:szCs w:val="24"/>
        </w:rPr>
      </w:pPr>
      <w:bookmarkStart w:id="0" w:name="_Hlk8132637"/>
      <w:r w:rsidRPr="00842D80">
        <w:rPr>
          <w:rFonts w:cstheme="minorHAnsi"/>
          <w:sz w:val="24"/>
          <w:szCs w:val="24"/>
        </w:rPr>
        <w:t>•</w:t>
      </w:r>
      <w:bookmarkEnd w:id="0"/>
      <w:r w:rsidRPr="00842D80">
        <w:rPr>
          <w:rFonts w:cstheme="minorHAnsi"/>
          <w:sz w:val="24"/>
          <w:szCs w:val="24"/>
        </w:rPr>
        <w:t xml:space="preserve"> Yeni teknolojilerin ve bankacılık ürünlerinin sektöre girmesi,</w:t>
      </w:r>
    </w:p>
    <w:p w:rsidR="00842D80" w:rsidRPr="00842D80" w:rsidRDefault="00842D80" w:rsidP="00842D80">
      <w:pPr>
        <w:rPr>
          <w:rFonts w:cstheme="minorHAnsi"/>
          <w:sz w:val="24"/>
          <w:szCs w:val="24"/>
        </w:rPr>
      </w:pPr>
      <w:r w:rsidRPr="00842D80">
        <w:rPr>
          <w:rFonts w:cstheme="minorHAnsi"/>
          <w:sz w:val="24"/>
          <w:szCs w:val="24"/>
        </w:rPr>
        <w:t>•Güçlü bir sermaye yapısına ve güvene sahip bankaların girişiyle sektörün güçlenmesi,</w:t>
      </w:r>
    </w:p>
    <w:p w:rsidR="00842D80" w:rsidRPr="00842D80" w:rsidRDefault="00842D80" w:rsidP="00842D80">
      <w:pPr>
        <w:rPr>
          <w:rFonts w:cstheme="minorHAnsi"/>
          <w:sz w:val="24"/>
          <w:szCs w:val="24"/>
        </w:rPr>
      </w:pPr>
      <w:r w:rsidRPr="00842D80">
        <w:rPr>
          <w:rFonts w:cstheme="minorHAnsi"/>
          <w:sz w:val="24"/>
          <w:szCs w:val="24"/>
        </w:rPr>
        <w:t>• Sektörde rekabetin ve etkinliğin artması,</w:t>
      </w:r>
    </w:p>
    <w:p w:rsidR="00842D80" w:rsidRPr="00842D80" w:rsidRDefault="00842D80" w:rsidP="00842D80">
      <w:pPr>
        <w:rPr>
          <w:rFonts w:cstheme="minorHAnsi"/>
          <w:sz w:val="24"/>
          <w:szCs w:val="24"/>
        </w:rPr>
      </w:pPr>
      <w:r w:rsidRPr="00842D80">
        <w:rPr>
          <w:rFonts w:cstheme="minorHAnsi"/>
          <w:sz w:val="24"/>
          <w:szCs w:val="24"/>
        </w:rPr>
        <w:t>• Uluslararası finans çevrelerinden fon bulma imkanlarının genişlemesi,</w:t>
      </w:r>
    </w:p>
    <w:p w:rsidR="00842D80" w:rsidRPr="00842D80" w:rsidRDefault="00842D80" w:rsidP="00842D80">
      <w:pPr>
        <w:rPr>
          <w:rFonts w:cstheme="minorHAnsi"/>
          <w:sz w:val="24"/>
          <w:szCs w:val="24"/>
        </w:rPr>
      </w:pPr>
      <w:r w:rsidRPr="00842D80">
        <w:rPr>
          <w:rFonts w:cstheme="minorHAnsi"/>
          <w:sz w:val="24"/>
          <w:szCs w:val="24"/>
        </w:rPr>
        <w:t>• İleri uzmanlık birikimlerinden yararlanılması,</w:t>
      </w:r>
    </w:p>
    <w:p w:rsidR="00842D80" w:rsidRPr="00842D80" w:rsidRDefault="00842D80" w:rsidP="00842D80">
      <w:pPr>
        <w:rPr>
          <w:rFonts w:cstheme="minorHAnsi"/>
          <w:sz w:val="24"/>
          <w:szCs w:val="24"/>
        </w:rPr>
      </w:pPr>
      <w:bookmarkStart w:id="1" w:name="_Hlk8133552"/>
      <w:r w:rsidRPr="00842D80">
        <w:rPr>
          <w:rFonts w:cstheme="minorHAnsi"/>
          <w:sz w:val="24"/>
          <w:szCs w:val="24"/>
        </w:rPr>
        <w:t>•</w:t>
      </w:r>
      <w:bookmarkEnd w:id="1"/>
      <w:r w:rsidRPr="00842D80">
        <w:rPr>
          <w:rFonts w:cstheme="minorHAnsi"/>
          <w:sz w:val="24"/>
          <w:szCs w:val="24"/>
        </w:rPr>
        <w:t xml:space="preserve"> Kriz zamanlarında fonların yurtdışına kaçışının önlenmes</w:t>
      </w:r>
      <w:r w:rsidR="00C96945">
        <w:rPr>
          <w:rFonts w:cstheme="minorHAnsi"/>
          <w:sz w:val="24"/>
          <w:szCs w:val="24"/>
        </w:rPr>
        <w:t>i</w:t>
      </w:r>
    </w:p>
    <w:p w:rsidR="00842D80" w:rsidRPr="00842D80" w:rsidRDefault="00842D80" w:rsidP="00842D80">
      <w:pPr>
        <w:rPr>
          <w:rFonts w:cstheme="minorHAnsi"/>
          <w:sz w:val="24"/>
          <w:szCs w:val="24"/>
        </w:rPr>
      </w:pPr>
      <w:r w:rsidRPr="00842D80">
        <w:rPr>
          <w:rFonts w:cstheme="minorHAnsi"/>
          <w:sz w:val="24"/>
          <w:szCs w:val="24"/>
        </w:rPr>
        <w:t>Bunun yanında muhtemel sakıncaları kısaca belirtmek gerekirse (BDDK: 2005, 53);</w:t>
      </w:r>
    </w:p>
    <w:p w:rsidR="00842D80" w:rsidRPr="00842D80" w:rsidRDefault="00842D80" w:rsidP="00842D80">
      <w:pPr>
        <w:rPr>
          <w:rFonts w:cstheme="minorHAnsi"/>
          <w:sz w:val="24"/>
          <w:szCs w:val="24"/>
        </w:rPr>
      </w:pPr>
      <w:r w:rsidRPr="00842D80">
        <w:rPr>
          <w:rFonts w:cstheme="minorHAnsi"/>
          <w:sz w:val="24"/>
          <w:szCs w:val="24"/>
        </w:rPr>
        <w:t>• Yabancı bankaların finansal kriz dönemlerinde işlerini bırakıp gitmeleri</w:t>
      </w:r>
    </w:p>
    <w:p w:rsidR="00842D80" w:rsidRPr="00842D80" w:rsidRDefault="00842D80" w:rsidP="00842D80">
      <w:pPr>
        <w:rPr>
          <w:rFonts w:cstheme="minorHAnsi"/>
          <w:sz w:val="24"/>
          <w:szCs w:val="24"/>
        </w:rPr>
      </w:pPr>
      <w:r w:rsidRPr="00842D80">
        <w:rPr>
          <w:rFonts w:cstheme="minorHAnsi"/>
          <w:sz w:val="24"/>
          <w:szCs w:val="24"/>
        </w:rPr>
        <w:t>• Ölçek avantajlarını kullanarak daha kaliteli müşterilere yönelmeleri</w:t>
      </w:r>
    </w:p>
    <w:p w:rsidR="00842D80" w:rsidRPr="00842D80" w:rsidRDefault="00842D80" w:rsidP="00842D80">
      <w:pPr>
        <w:rPr>
          <w:rFonts w:cstheme="minorHAnsi"/>
          <w:sz w:val="24"/>
          <w:szCs w:val="24"/>
        </w:rPr>
      </w:pPr>
      <w:r w:rsidRPr="00842D80">
        <w:rPr>
          <w:rFonts w:cstheme="minorHAnsi"/>
          <w:sz w:val="24"/>
          <w:szCs w:val="24"/>
        </w:rPr>
        <w:t xml:space="preserve">• Ulusal ekonominin küçük ölçekli </w:t>
      </w:r>
      <w:r w:rsidR="00C96945">
        <w:rPr>
          <w:rFonts w:cstheme="minorHAnsi"/>
          <w:sz w:val="24"/>
          <w:szCs w:val="24"/>
        </w:rPr>
        <w:t xml:space="preserve">işletmeler </w:t>
      </w:r>
      <w:r w:rsidRPr="00842D80">
        <w:rPr>
          <w:rFonts w:cstheme="minorHAnsi"/>
          <w:sz w:val="24"/>
          <w:szCs w:val="24"/>
        </w:rPr>
        <w:t>kredi açmakta isteksiz</w:t>
      </w:r>
      <w:r>
        <w:rPr>
          <w:rFonts w:cstheme="minorHAnsi"/>
          <w:sz w:val="24"/>
          <w:szCs w:val="24"/>
        </w:rPr>
        <w:t xml:space="preserve"> </w:t>
      </w:r>
      <w:r w:rsidRPr="00842D80">
        <w:rPr>
          <w:rFonts w:cstheme="minorHAnsi"/>
          <w:sz w:val="24"/>
          <w:szCs w:val="24"/>
        </w:rPr>
        <w:t xml:space="preserve">davranmaları </w:t>
      </w:r>
    </w:p>
    <w:p w:rsidR="00842D80" w:rsidRPr="00842D80" w:rsidRDefault="00842D80" w:rsidP="00842D80">
      <w:pPr>
        <w:rPr>
          <w:rFonts w:cstheme="minorHAnsi"/>
          <w:sz w:val="24"/>
          <w:szCs w:val="24"/>
        </w:rPr>
      </w:pPr>
      <w:r w:rsidRPr="00842D80">
        <w:rPr>
          <w:rFonts w:cstheme="minorHAnsi"/>
          <w:sz w:val="24"/>
          <w:szCs w:val="24"/>
        </w:rPr>
        <w:t>• Kriz dönemlerinde kredi arzını sınırlamaları gelmektedir.</w:t>
      </w:r>
    </w:p>
    <w:p w:rsidR="00842D80" w:rsidRPr="00842D80" w:rsidRDefault="00842D80" w:rsidP="00842D80">
      <w:pPr>
        <w:rPr>
          <w:rFonts w:cstheme="minorHAnsi"/>
          <w:sz w:val="24"/>
          <w:szCs w:val="24"/>
        </w:rPr>
      </w:pPr>
    </w:p>
    <w:p w:rsidR="00F070D3" w:rsidRDefault="00842D80" w:rsidP="00842D80">
      <w:pPr>
        <w:rPr>
          <w:rFonts w:cstheme="minorHAnsi"/>
          <w:sz w:val="24"/>
          <w:szCs w:val="24"/>
        </w:rPr>
      </w:pPr>
      <w:r w:rsidRPr="00842D80">
        <w:rPr>
          <w:rFonts w:cstheme="minorHAnsi"/>
          <w:sz w:val="24"/>
          <w:szCs w:val="24"/>
        </w:rPr>
        <w:t>.</w:t>
      </w:r>
    </w:p>
    <w:p w:rsidR="00F070D3" w:rsidRDefault="00F070D3" w:rsidP="00FB0D8B">
      <w:pPr>
        <w:rPr>
          <w:rFonts w:cstheme="minorHAnsi"/>
          <w:sz w:val="24"/>
          <w:szCs w:val="24"/>
        </w:rPr>
      </w:pPr>
    </w:p>
    <w:p w:rsidR="00F070D3" w:rsidRDefault="00F070D3" w:rsidP="00FB0D8B">
      <w:pPr>
        <w:rPr>
          <w:rFonts w:cstheme="minorHAnsi"/>
          <w:sz w:val="24"/>
          <w:szCs w:val="24"/>
        </w:rPr>
      </w:pPr>
    </w:p>
    <w:p w:rsidR="00F070D3" w:rsidRDefault="00F070D3" w:rsidP="00FB0D8B">
      <w:pPr>
        <w:rPr>
          <w:rFonts w:cstheme="minorHAnsi"/>
          <w:sz w:val="24"/>
          <w:szCs w:val="24"/>
        </w:rPr>
      </w:pPr>
    </w:p>
    <w:p w:rsidR="00F070D3" w:rsidRDefault="00F070D3" w:rsidP="00FB0D8B">
      <w:pPr>
        <w:rPr>
          <w:rFonts w:cstheme="minorHAnsi"/>
          <w:sz w:val="24"/>
          <w:szCs w:val="24"/>
        </w:rPr>
      </w:pPr>
    </w:p>
    <w:p w:rsidR="009A56FC" w:rsidRDefault="009A56FC" w:rsidP="00FB0D8B">
      <w:pPr>
        <w:rPr>
          <w:rFonts w:cstheme="minorHAnsi"/>
          <w:sz w:val="32"/>
          <w:szCs w:val="32"/>
        </w:rPr>
      </w:pPr>
    </w:p>
    <w:p w:rsidR="00C96945" w:rsidRDefault="00C96945" w:rsidP="00FB0D8B">
      <w:pPr>
        <w:rPr>
          <w:rFonts w:cstheme="minorHAnsi"/>
          <w:sz w:val="32"/>
          <w:szCs w:val="32"/>
        </w:rPr>
      </w:pPr>
    </w:p>
    <w:p w:rsidR="00001968" w:rsidRDefault="00001968" w:rsidP="00FB0D8B">
      <w:pPr>
        <w:rPr>
          <w:rFonts w:cstheme="minorHAnsi"/>
          <w:sz w:val="32"/>
          <w:szCs w:val="32"/>
        </w:rPr>
      </w:pPr>
    </w:p>
    <w:p w:rsidR="00FB0D8B" w:rsidRPr="00F070D3" w:rsidRDefault="00F070D3" w:rsidP="00FB0D8B">
      <w:pPr>
        <w:rPr>
          <w:rFonts w:cstheme="minorHAnsi"/>
          <w:sz w:val="32"/>
          <w:szCs w:val="32"/>
        </w:rPr>
      </w:pPr>
      <w:r w:rsidRPr="00F070D3">
        <w:rPr>
          <w:rFonts w:cstheme="minorHAnsi"/>
          <w:sz w:val="32"/>
          <w:szCs w:val="32"/>
        </w:rPr>
        <w:lastRenderedPageBreak/>
        <w:t>Türk Bankacılık Sektöründeki Yoğunlaşma (1990-2001)</w:t>
      </w:r>
    </w:p>
    <w:p w:rsidR="00FB0D8B" w:rsidRDefault="00882201" w:rsidP="00FB0D8B">
      <w:pPr>
        <w:rPr>
          <w:rFonts w:cstheme="minorHAnsi"/>
          <w:sz w:val="24"/>
          <w:szCs w:val="24"/>
        </w:rPr>
      </w:pPr>
      <w:r>
        <w:rPr>
          <w:rFonts w:cstheme="minorHAnsi"/>
          <w:sz w:val="24"/>
          <w:szCs w:val="24"/>
        </w:rPr>
        <w:t xml:space="preserve">                                  </w:t>
      </w:r>
      <w:r>
        <w:rPr>
          <w:rFonts w:cstheme="minorHAnsi"/>
          <w:noProof/>
          <w:sz w:val="24"/>
          <w:szCs w:val="24"/>
        </w:rPr>
        <w:drawing>
          <wp:inline distT="0" distB="0" distL="0" distR="0" wp14:anchorId="65B133D7">
            <wp:extent cx="5292090" cy="2505710"/>
            <wp:effectExtent l="0" t="0" r="381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2090" cy="2505710"/>
                    </a:xfrm>
                    <a:prstGeom prst="rect">
                      <a:avLst/>
                    </a:prstGeom>
                    <a:noFill/>
                  </pic:spPr>
                </pic:pic>
              </a:graphicData>
            </a:graphic>
          </wp:inline>
        </w:drawing>
      </w:r>
    </w:p>
    <w:p w:rsidR="009A56FC" w:rsidRDefault="009A56FC" w:rsidP="00FB0D8B">
      <w:pPr>
        <w:rPr>
          <w:rFonts w:cstheme="minorHAnsi"/>
          <w:sz w:val="24"/>
          <w:szCs w:val="24"/>
        </w:rPr>
      </w:pPr>
      <w:bookmarkStart w:id="2" w:name="_GoBack"/>
    </w:p>
    <w:bookmarkEnd w:id="2"/>
    <w:p w:rsidR="009A56FC" w:rsidRDefault="009A56FC" w:rsidP="00FB0D8B">
      <w:pPr>
        <w:rPr>
          <w:rFonts w:cstheme="minorHAnsi"/>
          <w:sz w:val="24"/>
          <w:szCs w:val="24"/>
        </w:rPr>
      </w:pPr>
      <w:r>
        <w:rPr>
          <w:rFonts w:cstheme="minorHAnsi"/>
          <w:sz w:val="24"/>
          <w:szCs w:val="24"/>
        </w:rPr>
        <w:t>1990 2001 yılları arasında Türk bankacılık sektöründe ki yoğunlaşma bu şekilde olmuştur.</w:t>
      </w:r>
    </w:p>
    <w:p w:rsidR="009A56FC" w:rsidRDefault="009A56FC" w:rsidP="00FB0D8B">
      <w:pPr>
        <w:rPr>
          <w:rFonts w:cstheme="minorHAnsi"/>
          <w:sz w:val="24"/>
          <w:szCs w:val="24"/>
        </w:rPr>
      </w:pPr>
    </w:p>
    <w:p w:rsidR="009A56FC" w:rsidRDefault="009A56FC" w:rsidP="00FB0D8B">
      <w:pPr>
        <w:rPr>
          <w:rFonts w:ascii="Arial Black" w:hAnsi="Arial Black" w:cstheme="majorHAnsi"/>
          <w:sz w:val="24"/>
          <w:szCs w:val="24"/>
        </w:rPr>
      </w:pPr>
      <w:r>
        <w:rPr>
          <w:rFonts w:ascii="Arial Black" w:hAnsi="Arial Black" w:cstheme="majorHAnsi"/>
          <w:sz w:val="24"/>
          <w:szCs w:val="24"/>
        </w:rPr>
        <w:t>Yabancı banka girişlerinin ulus</w:t>
      </w:r>
      <w:r w:rsidR="00DD07AF">
        <w:rPr>
          <w:rFonts w:ascii="Arial Black" w:hAnsi="Arial Black" w:cstheme="majorHAnsi"/>
          <w:sz w:val="24"/>
          <w:szCs w:val="24"/>
        </w:rPr>
        <w:t>al ekonomi üzerinde etkileri</w:t>
      </w:r>
    </w:p>
    <w:p w:rsidR="00DD07AF" w:rsidRDefault="00DD07AF" w:rsidP="00DD07AF">
      <w:pPr>
        <w:rPr>
          <w:rFonts w:cstheme="minorHAnsi"/>
          <w:sz w:val="24"/>
          <w:szCs w:val="24"/>
        </w:rPr>
      </w:pPr>
      <w:bookmarkStart w:id="3" w:name="_Hlk8133667"/>
      <w:r w:rsidRPr="00DD07AF">
        <w:rPr>
          <w:rFonts w:ascii="Arial Black" w:hAnsi="Arial Black" w:cstheme="majorHAnsi"/>
          <w:sz w:val="24"/>
          <w:szCs w:val="24"/>
        </w:rPr>
        <w:t>•</w:t>
      </w:r>
      <w:bookmarkEnd w:id="3"/>
      <w:r>
        <w:rPr>
          <w:rFonts w:ascii="Arial Black" w:hAnsi="Arial Black" w:cstheme="majorHAnsi"/>
          <w:sz w:val="24"/>
          <w:szCs w:val="24"/>
        </w:rPr>
        <w:t>Verimlilik etkisi:</w:t>
      </w:r>
      <w:r w:rsidRPr="00DD07AF">
        <w:t xml:space="preserve"> </w:t>
      </w:r>
      <w:r w:rsidRPr="00DD07AF">
        <w:rPr>
          <w:rFonts w:cstheme="minorHAnsi"/>
          <w:sz w:val="24"/>
          <w:szCs w:val="24"/>
        </w:rPr>
        <w:t>Yabancı bankalar faaliyet gösterdikleri ülkelerdeki müşterilerine daha üstün teknoloji, yeni, kaliteli ve ucuz finansal ürünler sunarak doğrudan bir verimlilik katkısında bulunurken, söz konusu piyasalarda rekabetin artırılması suretiyle diğer bankaları teşvik ederek toplam verimlilik üzerinde de dolaylı olarak etkili olmaktadırlar.</w:t>
      </w:r>
    </w:p>
    <w:p w:rsidR="00DD07AF" w:rsidRDefault="00DD07AF" w:rsidP="00DD07AF">
      <w:pPr>
        <w:rPr>
          <w:rFonts w:cstheme="minorHAnsi"/>
          <w:sz w:val="24"/>
          <w:szCs w:val="24"/>
        </w:rPr>
      </w:pPr>
      <w:r w:rsidRPr="00DD07AF">
        <w:rPr>
          <w:rFonts w:cstheme="minorHAnsi"/>
          <w:sz w:val="24"/>
          <w:szCs w:val="24"/>
        </w:rPr>
        <w:t>•</w:t>
      </w:r>
      <w:r>
        <w:rPr>
          <w:rFonts w:ascii="Arial Black" w:hAnsi="Arial Black" w:cstheme="minorHAnsi"/>
          <w:sz w:val="24"/>
          <w:szCs w:val="24"/>
        </w:rPr>
        <w:t xml:space="preserve">İstikrar Etkisi: </w:t>
      </w:r>
      <w:r>
        <w:rPr>
          <w:rFonts w:cstheme="minorHAnsi"/>
          <w:sz w:val="24"/>
          <w:szCs w:val="24"/>
        </w:rPr>
        <w:t>Yabancı bankaların ulusal piyasalara katılımı ile daha istikrarlı bir kredi kaynağı oluşacağından yerel ülkenin bankacılık sisteminin şoklara karşı direnci artmaktadır.</w:t>
      </w:r>
    </w:p>
    <w:p w:rsidR="00DD07AF" w:rsidRPr="00DD07AF" w:rsidRDefault="00DD07AF" w:rsidP="00DD07AF">
      <w:pPr>
        <w:rPr>
          <w:rFonts w:cstheme="minorHAnsi"/>
          <w:sz w:val="24"/>
          <w:szCs w:val="24"/>
        </w:rPr>
      </w:pPr>
    </w:p>
    <w:p w:rsidR="00DD07AF" w:rsidRDefault="00DD07AF" w:rsidP="00DD07AF">
      <w:pPr>
        <w:rPr>
          <w:rFonts w:ascii="Arial Black" w:hAnsi="Arial Black" w:cstheme="minorHAnsi"/>
          <w:sz w:val="24"/>
          <w:szCs w:val="24"/>
        </w:rPr>
      </w:pPr>
    </w:p>
    <w:p w:rsidR="00DD07AF" w:rsidRDefault="00DD07AF" w:rsidP="00DD07AF">
      <w:pPr>
        <w:rPr>
          <w:rFonts w:ascii="Arial Black" w:hAnsi="Arial Black" w:cstheme="minorHAnsi"/>
          <w:sz w:val="24"/>
          <w:szCs w:val="24"/>
        </w:rPr>
      </w:pPr>
      <w:r>
        <w:rPr>
          <w:rFonts w:ascii="Arial Black" w:hAnsi="Arial Black" w:cstheme="minorHAnsi"/>
          <w:sz w:val="24"/>
          <w:szCs w:val="24"/>
        </w:rPr>
        <w:t>Yabancı bankaların ülkemize girişini çekici kılan koşullar:</w:t>
      </w:r>
    </w:p>
    <w:p w:rsidR="00DD07AF" w:rsidRDefault="00DD07AF" w:rsidP="00DD07AF">
      <w:pPr>
        <w:rPr>
          <w:rFonts w:cstheme="minorHAnsi"/>
          <w:sz w:val="24"/>
          <w:szCs w:val="24"/>
        </w:rPr>
      </w:pPr>
      <w:r>
        <w:rPr>
          <w:rFonts w:cstheme="minorHAnsi"/>
          <w:sz w:val="24"/>
          <w:szCs w:val="24"/>
        </w:rPr>
        <w:t>19</w:t>
      </w:r>
      <w:r w:rsidR="00CD724C">
        <w:rPr>
          <w:rFonts w:cstheme="minorHAnsi"/>
          <w:sz w:val="24"/>
          <w:szCs w:val="24"/>
        </w:rPr>
        <w:t>80 yılı sonrasında ki kambiyo mevzuatında ki serbestleşme, ekonominin serbest piyasa koşullarına uydurulması çabası gelişmekte olan, istikrar kazanmaya başlayan ve piyasa girişini kolaylaştıran tüm düzenlemeleri gerçekleştirmeye çalışan bir Türkiye ekonomide yabancı sermayeyi artırmıştır.</w:t>
      </w:r>
    </w:p>
    <w:p w:rsidR="00CD724C" w:rsidRPr="00DD07AF" w:rsidRDefault="00CD724C" w:rsidP="00DD07AF">
      <w:pPr>
        <w:rPr>
          <w:rFonts w:cstheme="minorHAnsi"/>
          <w:sz w:val="24"/>
          <w:szCs w:val="24"/>
        </w:rPr>
      </w:pPr>
    </w:p>
    <w:p w:rsidR="00882201" w:rsidRDefault="00882201" w:rsidP="00FB0D8B">
      <w:pPr>
        <w:rPr>
          <w:rFonts w:cstheme="minorHAnsi"/>
          <w:sz w:val="24"/>
          <w:szCs w:val="24"/>
        </w:rPr>
      </w:pPr>
    </w:p>
    <w:p w:rsidR="00C96945" w:rsidRDefault="00CD724C" w:rsidP="00FB0D8B">
      <w:pPr>
        <w:rPr>
          <w:rFonts w:cstheme="minorHAnsi"/>
          <w:sz w:val="24"/>
          <w:szCs w:val="24"/>
        </w:rPr>
      </w:pPr>
      <w:r>
        <w:rPr>
          <w:rFonts w:cstheme="minorHAnsi"/>
          <w:sz w:val="24"/>
          <w:szCs w:val="24"/>
        </w:rPr>
        <w:t xml:space="preserve">                </w:t>
      </w:r>
    </w:p>
    <w:p w:rsidR="00001968" w:rsidRDefault="00001968" w:rsidP="00FB0D8B">
      <w:pPr>
        <w:rPr>
          <w:rFonts w:ascii="Arial Black" w:hAnsi="Arial Black" w:cstheme="minorHAnsi"/>
          <w:sz w:val="24"/>
          <w:szCs w:val="24"/>
        </w:rPr>
      </w:pPr>
    </w:p>
    <w:p w:rsidR="00CD724C" w:rsidRPr="00CD724C" w:rsidRDefault="00CD724C" w:rsidP="00FB0D8B">
      <w:pPr>
        <w:rPr>
          <w:rFonts w:ascii="Arial Black" w:hAnsi="Arial Black" w:cstheme="minorHAnsi"/>
          <w:sz w:val="24"/>
          <w:szCs w:val="24"/>
        </w:rPr>
      </w:pPr>
      <w:r w:rsidRPr="00CD724C">
        <w:rPr>
          <w:rFonts w:ascii="Arial Black" w:hAnsi="Arial Black" w:cstheme="minorHAnsi"/>
          <w:sz w:val="24"/>
          <w:szCs w:val="24"/>
        </w:rPr>
        <w:lastRenderedPageBreak/>
        <w:t>2005- 2008 Yılı Mart Ayı Arası Yabancı Banka Sayıları</w:t>
      </w:r>
    </w:p>
    <w:p w:rsidR="00882201" w:rsidRDefault="00882201" w:rsidP="00FB0D8B">
      <w:pPr>
        <w:rPr>
          <w:rFonts w:cstheme="minorHAnsi"/>
          <w:sz w:val="24"/>
          <w:szCs w:val="24"/>
        </w:rPr>
      </w:pPr>
      <w:r>
        <w:rPr>
          <w:rFonts w:cstheme="minorHAnsi"/>
          <w:noProof/>
          <w:sz w:val="24"/>
          <w:szCs w:val="24"/>
        </w:rPr>
        <w:drawing>
          <wp:inline distT="0" distB="0" distL="0" distR="0" wp14:anchorId="2E48FAA2">
            <wp:extent cx="4755789" cy="3468655"/>
            <wp:effectExtent l="0" t="0" r="698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7835" cy="3513909"/>
                    </a:xfrm>
                    <a:prstGeom prst="rect">
                      <a:avLst/>
                    </a:prstGeom>
                    <a:noFill/>
                  </pic:spPr>
                </pic:pic>
              </a:graphicData>
            </a:graphic>
          </wp:inline>
        </w:drawing>
      </w:r>
    </w:p>
    <w:p w:rsidR="00CD724C" w:rsidRPr="00CD724C" w:rsidRDefault="00CD724C" w:rsidP="00CD724C">
      <w:pPr>
        <w:rPr>
          <w:rFonts w:cstheme="minorHAnsi"/>
          <w:sz w:val="24"/>
          <w:szCs w:val="24"/>
        </w:rPr>
      </w:pPr>
      <w:r>
        <w:rPr>
          <w:rFonts w:cstheme="minorHAnsi"/>
          <w:sz w:val="24"/>
          <w:szCs w:val="24"/>
        </w:rPr>
        <w:t xml:space="preserve">    </w:t>
      </w:r>
      <w:r w:rsidRPr="00CD724C">
        <w:rPr>
          <w:rFonts w:cstheme="minorHAnsi"/>
          <w:sz w:val="24"/>
          <w:szCs w:val="24"/>
        </w:rPr>
        <w:t>Bankacılık kesiminin, bilanço büyüklüğünün Gayri Safi Yurt İçi Hasıla’ya (GSYİH) oranına bakacak olduğumuzda, 1980 yılında yüzde 31,4 olan söz konusu oran, 1985 yılında yüzde 43,9 olarak gerçekleşmiş, 1990 yılında ekonomiye yansıyan olumsuzluklar nedeni</w:t>
      </w:r>
      <w:r w:rsidR="00C96945">
        <w:rPr>
          <w:rFonts w:cstheme="minorHAnsi"/>
          <w:sz w:val="24"/>
          <w:szCs w:val="24"/>
        </w:rPr>
        <w:t xml:space="preserve"> </w:t>
      </w:r>
      <w:r w:rsidRPr="00CD724C">
        <w:rPr>
          <w:rFonts w:cstheme="minorHAnsi"/>
          <w:sz w:val="24"/>
          <w:szCs w:val="24"/>
        </w:rPr>
        <w:t xml:space="preserve">yüzde 43,3‘e gerilemiştir. Bu oran 2004 yılı Aralık ayı itibariyle yüzde 72’ye ulaşmıştır </w:t>
      </w:r>
    </w:p>
    <w:p w:rsidR="00CD724C" w:rsidRDefault="00CD724C" w:rsidP="00FB0D8B">
      <w:pPr>
        <w:rPr>
          <w:rFonts w:cstheme="minorHAnsi"/>
          <w:sz w:val="24"/>
          <w:szCs w:val="24"/>
        </w:rPr>
      </w:pPr>
    </w:p>
    <w:p w:rsidR="00882201" w:rsidRDefault="00882201" w:rsidP="00FB0D8B">
      <w:pPr>
        <w:rPr>
          <w:rFonts w:cstheme="minorHAnsi"/>
          <w:sz w:val="24"/>
          <w:szCs w:val="24"/>
        </w:rPr>
      </w:pPr>
      <w:r>
        <w:rPr>
          <w:rFonts w:cstheme="minorHAnsi"/>
          <w:sz w:val="24"/>
          <w:szCs w:val="24"/>
        </w:rPr>
        <w:t xml:space="preserve">                            </w:t>
      </w:r>
    </w:p>
    <w:p w:rsidR="00882201" w:rsidRDefault="00882201" w:rsidP="00FB0D8B">
      <w:pPr>
        <w:rPr>
          <w:rFonts w:cstheme="minorHAnsi"/>
          <w:sz w:val="24"/>
          <w:szCs w:val="24"/>
        </w:rPr>
      </w:pPr>
    </w:p>
    <w:p w:rsidR="00882201" w:rsidRPr="00DC2860" w:rsidRDefault="00DC2860" w:rsidP="00FB0D8B">
      <w:pPr>
        <w:rPr>
          <w:rFonts w:ascii="Arial Black" w:hAnsi="Arial Black" w:cstheme="minorHAnsi"/>
          <w:sz w:val="24"/>
          <w:szCs w:val="24"/>
        </w:rPr>
      </w:pPr>
      <w:r w:rsidRPr="00DC2860">
        <w:rPr>
          <w:rFonts w:ascii="Arial Black" w:hAnsi="Arial Black" w:cstheme="minorHAnsi"/>
          <w:sz w:val="24"/>
          <w:szCs w:val="24"/>
        </w:rPr>
        <w:t>KRİZLERDE YABANCI BANKALARIN DAVRANIŞLARI</w:t>
      </w:r>
    </w:p>
    <w:p w:rsidR="00DC2860" w:rsidRDefault="00DC2860" w:rsidP="00DC2860">
      <w:pPr>
        <w:rPr>
          <w:rFonts w:cstheme="minorHAnsi"/>
          <w:sz w:val="24"/>
          <w:szCs w:val="24"/>
        </w:rPr>
      </w:pPr>
      <w:r>
        <w:rPr>
          <w:rFonts w:cstheme="minorHAnsi"/>
          <w:sz w:val="24"/>
          <w:szCs w:val="24"/>
        </w:rPr>
        <w:t>Ocak 1994 krizinde yabancı bankalar döviz kurunun artmasıyla beraber hem kur riskine hem de ekonomik daralmayla beraber kredi riskine maruz kalmışlardır.</w:t>
      </w:r>
      <w:r w:rsidRPr="00DC2860">
        <w:t xml:space="preserve"> </w:t>
      </w:r>
      <w:r w:rsidRPr="00DC2860">
        <w:rPr>
          <w:rFonts w:cstheme="minorHAnsi"/>
          <w:sz w:val="24"/>
          <w:szCs w:val="24"/>
        </w:rPr>
        <w:t>Bankacılık için liberal düzenlemeler getirilmesine rağmen, gerekli gözetim ve denetimin yapılamamış olması, bankacılık sisteminin risklerinin daha da artırılmasına göz yumularak sistemdeki paylarının korunmasına neden olunmuştur. Ekonomik koşullarda ve finans sektöründeki tüm bu olumsuz gelişmeler 1994 krizinin arkasındaki en önemli nedenler olarak karşımıza çıkmaktadır (Saraç, 2002). Kriz ile gelen şok, bankacılık sisteminin toplam varlıklarını ciddi biçimde etkilemiştir</w:t>
      </w:r>
      <w:r>
        <w:rPr>
          <w:rFonts w:cstheme="minorHAnsi"/>
          <w:sz w:val="24"/>
          <w:szCs w:val="24"/>
        </w:rPr>
        <w:t>.</w:t>
      </w:r>
    </w:p>
    <w:p w:rsidR="00DC2860" w:rsidRDefault="00DC2860" w:rsidP="00DC2860">
      <w:pPr>
        <w:rPr>
          <w:rFonts w:cstheme="minorHAnsi"/>
          <w:sz w:val="24"/>
          <w:szCs w:val="24"/>
        </w:rPr>
      </w:pPr>
    </w:p>
    <w:p w:rsidR="00DC2860" w:rsidRDefault="00DC2860" w:rsidP="00DC2860">
      <w:pPr>
        <w:rPr>
          <w:rFonts w:cstheme="minorHAnsi"/>
          <w:sz w:val="24"/>
          <w:szCs w:val="24"/>
        </w:rPr>
      </w:pPr>
    </w:p>
    <w:p w:rsidR="00C96945" w:rsidRDefault="00C96945" w:rsidP="00DC2860">
      <w:pPr>
        <w:rPr>
          <w:rFonts w:ascii="Arial Black" w:hAnsi="Arial Black" w:cstheme="minorHAnsi"/>
          <w:sz w:val="16"/>
          <w:szCs w:val="16"/>
        </w:rPr>
      </w:pPr>
    </w:p>
    <w:p w:rsidR="00C96945" w:rsidRDefault="00C96945" w:rsidP="00DC2860">
      <w:pPr>
        <w:rPr>
          <w:rFonts w:ascii="Arial Black" w:hAnsi="Arial Black" w:cstheme="minorHAnsi"/>
          <w:sz w:val="16"/>
          <w:szCs w:val="16"/>
        </w:rPr>
      </w:pPr>
    </w:p>
    <w:p w:rsidR="00DC2860" w:rsidRPr="00DC2860" w:rsidRDefault="00DC2860" w:rsidP="00DC2860">
      <w:pPr>
        <w:rPr>
          <w:rFonts w:ascii="Arial Black" w:hAnsi="Arial Black" w:cstheme="minorHAnsi"/>
          <w:sz w:val="16"/>
          <w:szCs w:val="16"/>
        </w:rPr>
      </w:pPr>
      <w:r w:rsidRPr="00DC2860">
        <w:rPr>
          <w:rFonts w:ascii="Arial Black" w:hAnsi="Arial Black" w:cstheme="minorHAnsi"/>
          <w:sz w:val="16"/>
          <w:szCs w:val="16"/>
        </w:rPr>
        <w:lastRenderedPageBreak/>
        <w:t>Ocak 1994 Krizinde Banka Gruplarının Toplam Aktifler   İçin</w:t>
      </w:r>
      <w:r w:rsidRPr="00DC2860">
        <w:rPr>
          <w:rFonts w:ascii="Arial Black" w:hAnsi="Arial Black" w:cstheme="minorHAnsi"/>
          <w:sz w:val="16"/>
          <w:szCs w:val="16"/>
        </w:rPr>
        <w:t>de ki Payları</w:t>
      </w:r>
    </w:p>
    <w:p w:rsidR="00DC2860" w:rsidRDefault="00DC2860" w:rsidP="00DC2860">
      <w:pPr>
        <w:rPr>
          <w:rFonts w:cstheme="minorHAnsi"/>
          <w:sz w:val="24"/>
          <w:szCs w:val="24"/>
        </w:rPr>
      </w:pPr>
      <w:r>
        <w:rPr>
          <w:rFonts w:cstheme="minorHAnsi"/>
          <w:noProof/>
          <w:sz w:val="24"/>
          <w:szCs w:val="24"/>
        </w:rPr>
        <w:drawing>
          <wp:inline distT="0" distB="0" distL="0" distR="0" wp14:anchorId="1EC48B61" wp14:editId="7523D5DD">
            <wp:extent cx="3657600" cy="2587367"/>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670" cy="2602979"/>
                    </a:xfrm>
                    <a:prstGeom prst="rect">
                      <a:avLst/>
                    </a:prstGeom>
                    <a:noFill/>
                  </pic:spPr>
                </pic:pic>
              </a:graphicData>
            </a:graphic>
          </wp:inline>
        </w:drawing>
      </w:r>
    </w:p>
    <w:p w:rsidR="00DC2860" w:rsidRPr="00DC2860" w:rsidRDefault="00DC2860" w:rsidP="00DC2860">
      <w:pPr>
        <w:rPr>
          <w:rFonts w:cstheme="minorHAnsi"/>
          <w:sz w:val="24"/>
          <w:szCs w:val="24"/>
        </w:rPr>
      </w:pPr>
      <w:r w:rsidRPr="00DC2860">
        <w:rPr>
          <w:rFonts w:cstheme="minorHAnsi"/>
          <w:sz w:val="24"/>
          <w:szCs w:val="24"/>
        </w:rPr>
        <w:t>Tablo</w:t>
      </w:r>
      <w:r>
        <w:rPr>
          <w:rFonts w:cstheme="minorHAnsi"/>
          <w:sz w:val="24"/>
          <w:szCs w:val="24"/>
        </w:rPr>
        <w:t xml:space="preserve">dan </w:t>
      </w:r>
      <w:r w:rsidRPr="00DC2860">
        <w:rPr>
          <w:rFonts w:cstheme="minorHAnsi"/>
          <w:sz w:val="24"/>
          <w:szCs w:val="24"/>
        </w:rPr>
        <w:t xml:space="preserve">bakacak olursak, krediler ve bankalardan alacak kalemlerinin önemli paya sahip olduğu görülmektedir. Yükselen faizler sonucu, geri dönüşü zor olması muhtemel yeni kredi </w:t>
      </w:r>
      <w:r w:rsidR="00C96945">
        <w:rPr>
          <w:rFonts w:cstheme="minorHAnsi"/>
          <w:sz w:val="24"/>
          <w:szCs w:val="24"/>
        </w:rPr>
        <w:t xml:space="preserve"> </w:t>
      </w:r>
      <w:r w:rsidRPr="00DC2860">
        <w:rPr>
          <w:rFonts w:cstheme="minorHAnsi"/>
          <w:sz w:val="24"/>
          <w:szCs w:val="24"/>
        </w:rPr>
        <w:t xml:space="preserve"> çek</w:t>
      </w:r>
      <w:r w:rsidR="00C96945">
        <w:rPr>
          <w:rFonts w:cstheme="minorHAnsi"/>
          <w:sz w:val="24"/>
          <w:szCs w:val="24"/>
        </w:rPr>
        <w:t xml:space="preserve">mek </w:t>
      </w:r>
      <w:r w:rsidRPr="00DC2860">
        <w:rPr>
          <w:rFonts w:cstheme="minorHAnsi"/>
          <w:sz w:val="24"/>
          <w:szCs w:val="24"/>
        </w:rPr>
        <w:t xml:space="preserve">ve azalan tüketim ve yatırıma paralel kredi talebinin de daralması sonucu, sektörde yabancı bankaların kredi kullanımı daralmıştır. Ancak, Mart 1995 tarihinden itibaren MDC kaleminin, özellikle hazine bonolarına yapılan plasman nedeniyle ani artış gösterdiği görülmektedir.  </w:t>
      </w:r>
    </w:p>
    <w:p w:rsidR="00DC2860" w:rsidRDefault="00DC2860" w:rsidP="00DC2860">
      <w:pPr>
        <w:rPr>
          <w:rFonts w:cstheme="minorHAnsi"/>
          <w:sz w:val="24"/>
          <w:szCs w:val="24"/>
        </w:rPr>
      </w:pPr>
    </w:p>
    <w:p w:rsidR="00DC2860" w:rsidRPr="00DC2860" w:rsidRDefault="00DC2860" w:rsidP="00DC2860">
      <w:pPr>
        <w:rPr>
          <w:rFonts w:ascii="Arial Black" w:hAnsi="Arial Black" w:cstheme="minorHAnsi"/>
          <w:sz w:val="16"/>
          <w:szCs w:val="16"/>
        </w:rPr>
      </w:pPr>
      <w:r w:rsidRPr="00DC2860">
        <w:rPr>
          <w:rFonts w:ascii="Arial Black" w:hAnsi="Arial Black" w:cstheme="minorHAnsi"/>
          <w:sz w:val="16"/>
          <w:szCs w:val="16"/>
        </w:rPr>
        <w:t xml:space="preserve">Ocak 1994 Krizinde Yabancı Bankaların Bilanço Yapısının Gelişimi   </w:t>
      </w:r>
    </w:p>
    <w:p w:rsidR="00DC2860" w:rsidRDefault="00DC2860" w:rsidP="00DC2860">
      <w:pPr>
        <w:rPr>
          <w:rFonts w:cstheme="minorHAnsi"/>
          <w:sz w:val="24"/>
          <w:szCs w:val="24"/>
        </w:rPr>
      </w:pPr>
      <w:r>
        <w:rPr>
          <w:rFonts w:cstheme="minorHAnsi"/>
          <w:noProof/>
          <w:sz w:val="24"/>
          <w:szCs w:val="24"/>
        </w:rPr>
        <w:drawing>
          <wp:inline distT="0" distB="0" distL="0" distR="0" wp14:anchorId="18C0F58C" wp14:editId="3D98AB97">
            <wp:extent cx="3800475" cy="2609183"/>
            <wp:effectExtent l="0" t="0" r="0" b="127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3048" cy="2624681"/>
                    </a:xfrm>
                    <a:prstGeom prst="rect">
                      <a:avLst/>
                    </a:prstGeom>
                    <a:noFill/>
                  </pic:spPr>
                </pic:pic>
              </a:graphicData>
            </a:graphic>
          </wp:inline>
        </w:drawing>
      </w:r>
    </w:p>
    <w:p w:rsidR="005C1384" w:rsidRDefault="00882201" w:rsidP="00071436">
      <w:pPr>
        <w:rPr>
          <w:rFonts w:cstheme="minorHAnsi"/>
          <w:sz w:val="24"/>
          <w:szCs w:val="24"/>
        </w:rPr>
      </w:pPr>
      <w:r>
        <w:rPr>
          <w:rFonts w:cstheme="minorHAnsi"/>
          <w:sz w:val="24"/>
          <w:szCs w:val="24"/>
        </w:rPr>
        <w:t xml:space="preserve">  </w:t>
      </w:r>
      <w:r w:rsidR="00DC2860">
        <w:rPr>
          <w:rFonts w:cstheme="minorHAnsi"/>
          <w:sz w:val="24"/>
          <w:szCs w:val="24"/>
        </w:rPr>
        <w:t>Y</w:t>
      </w:r>
      <w:r w:rsidR="00DC2860" w:rsidRPr="00DC2860">
        <w:rPr>
          <w:rFonts w:cstheme="minorHAnsi"/>
          <w:sz w:val="24"/>
          <w:szCs w:val="24"/>
        </w:rPr>
        <w:t xml:space="preserve">abancı bankaların likit aktiflerinin toplam aktiflere oranı Aralık 1993 tarihinde yüzde 60,3 olarak gerçekleşmiştir. Mart 1994 tarihine gelindiğinde ise yüzde 53,2’ye gerilediği görülmektedir. İncelenen dönemlerde, likit aktiflerin toplam aktiflere oranının dalgalanma kaydettiği ve Aralık 1995’ e gelindiğinde yüzde 56,7 oranına ulaştığı görülmüştür.  </w:t>
      </w:r>
    </w:p>
    <w:p w:rsidR="005C1384" w:rsidRDefault="005C1384" w:rsidP="00071436">
      <w:pPr>
        <w:rPr>
          <w:rFonts w:cstheme="minorHAnsi"/>
          <w:sz w:val="24"/>
          <w:szCs w:val="24"/>
        </w:rPr>
      </w:pPr>
    </w:p>
    <w:p w:rsidR="00882201" w:rsidRPr="005C1384" w:rsidRDefault="00071436" w:rsidP="00071436">
      <w:pPr>
        <w:rPr>
          <w:rFonts w:cstheme="minorHAnsi"/>
          <w:sz w:val="24"/>
          <w:szCs w:val="24"/>
        </w:rPr>
      </w:pPr>
      <w:r w:rsidRPr="00071436">
        <w:rPr>
          <w:rFonts w:ascii="Arial Black" w:hAnsi="Arial Black" w:cstheme="minorHAnsi"/>
          <w:sz w:val="16"/>
          <w:szCs w:val="16"/>
        </w:rPr>
        <w:lastRenderedPageBreak/>
        <w:t>Ocak 1994 Krizinde Yabancı Bankaların Likit Aktifler Gelişimi</w:t>
      </w:r>
    </w:p>
    <w:p w:rsidR="008978CE" w:rsidRDefault="00A85046" w:rsidP="00FB0D8B">
      <w:pPr>
        <w:rPr>
          <w:rFonts w:cstheme="minorHAnsi"/>
          <w:sz w:val="24"/>
          <w:szCs w:val="24"/>
        </w:rPr>
      </w:pPr>
      <w:r>
        <w:rPr>
          <w:rFonts w:cstheme="minorHAnsi"/>
          <w:sz w:val="24"/>
          <w:szCs w:val="24"/>
        </w:rPr>
        <w:t xml:space="preserve">             </w:t>
      </w:r>
      <w:r w:rsidR="00071436">
        <w:rPr>
          <w:rFonts w:cstheme="minorHAnsi"/>
          <w:noProof/>
          <w:sz w:val="24"/>
          <w:szCs w:val="24"/>
        </w:rPr>
        <w:drawing>
          <wp:inline distT="0" distB="0" distL="0" distR="0" wp14:anchorId="4684F1D3" wp14:editId="753E06C3">
            <wp:extent cx="3531226" cy="2081498"/>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6501" cy="2131764"/>
                    </a:xfrm>
                    <a:prstGeom prst="rect">
                      <a:avLst/>
                    </a:prstGeom>
                    <a:noFill/>
                  </pic:spPr>
                </pic:pic>
              </a:graphicData>
            </a:graphic>
          </wp:inline>
        </w:drawing>
      </w:r>
      <w:r>
        <w:rPr>
          <w:rFonts w:cstheme="minorHAnsi"/>
          <w:sz w:val="24"/>
          <w:szCs w:val="24"/>
        </w:rPr>
        <w:t xml:space="preserve">          </w:t>
      </w:r>
    </w:p>
    <w:p w:rsidR="00990BDC" w:rsidRDefault="00A85046" w:rsidP="008978CE">
      <w:pPr>
        <w:rPr>
          <w:rFonts w:cstheme="minorHAnsi"/>
          <w:sz w:val="24"/>
          <w:szCs w:val="24"/>
        </w:rPr>
      </w:pPr>
      <w:r>
        <w:rPr>
          <w:rFonts w:cstheme="minorHAnsi"/>
          <w:sz w:val="24"/>
          <w:szCs w:val="24"/>
        </w:rPr>
        <w:t xml:space="preserve">   </w:t>
      </w:r>
      <w:r w:rsidR="008978CE" w:rsidRPr="008978CE">
        <w:rPr>
          <w:rFonts w:cstheme="minorHAnsi"/>
          <w:sz w:val="24"/>
          <w:szCs w:val="24"/>
        </w:rPr>
        <w:t>Bahsedilen söz konusu dönemlerde, yabancı bankaların net karlılık durumuna bakıldığında ise, sektör içinde payları az olmakla bir</w:t>
      </w:r>
      <w:r w:rsidR="00C96945">
        <w:rPr>
          <w:rFonts w:cstheme="minorHAnsi"/>
          <w:sz w:val="24"/>
          <w:szCs w:val="24"/>
        </w:rPr>
        <w:t xml:space="preserve">likte </w:t>
      </w:r>
      <w:r w:rsidR="008978CE" w:rsidRPr="008978CE">
        <w:rPr>
          <w:rFonts w:cstheme="minorHAnsi"/>
          <w:sz w:val="24"/>
          <w:szCs w:val="24"/>
        </w:rPr>
        <w:t>, krizden kar ederek çıktıkları ve hatta reel bazda bir önceki yıl ile karşılaştırıldığında, Aralık 1993’te    46 milyon $ olan net karlarının Aralık</w:t>
      </w:r>
      <w:r w:rsidR="00C96945">
        <w:rPr>
          <w:rFonts w:cstheme="minorHAnsi"/>
          <w:sz w:val="24"/>
          <w:szCs w:val="24"/>
        </w:rPr>
        <w:t xml:space="preserve"> </w:t>
      </w:r>
      <w:r w:rsidR="008978CE" w:rsidRPr="008978CE">
        <w:rPr>
          <w:rFonts w:cstheme="minorHAnsi"/>
          <w:sz w:val="24"/>
          <w:szCs w:val="24"/>
        </w:rPr>
        <w:t>1994 tarihinde yüzde 46 oranında artarak  158 milyon $ ‘a ulaştığı görülmektedir.</w:t>
      </w:r>
    </w:p>
    <w:p w:rsidR="00071436" w:rsidRDefault="00A85046" w:rsidP="008978CE">
      <w:pPr>
        <w:rPr>
          <w:rFonts w:cstheme="minorHAnsi"/>
          <w:sz w:val="24"/>
          <w:szCs w:val="24"/>
        </w:rPr>
      </w:pPr>
      <w:r>
        <w:rPr>
          <w:rFonts w:cstheme="minorHAnsi"/>
          <w:sz w:val="24"/>
          <w:szCs w:val="24"/>
        </w:rPr>
        <w:t xml:space="preserve"> </w:t>
      </w:r>
    </w:p>
    <w:p w:rsidR="007F3D4A" w:rsidRPr="005C1384" w:rsidRDefault="00A85046" w:rsidP="00990BDC">
      <w:pPr>
        <w:rPr>
          <w:rFonts w:cstheme="minorHAnsi"/>
          <w:sz w:val="24"/>
          <w:szCs w:val="24"/>
        </w:rPr>
      </w:pPr>
      <w:r>
        <w:rPr>
          <w:rFonts w:cstheme="minorHAnsi"/>
          <w:sz w:val="24"/>
          <w:szCs w:val="24"/>
        </w:rPr>
        <w:t xml:space="preserve">                 </w:t>
      </w:r>
      <w:r w:rsidR="00882201" w:rsidRPr="00990BDC">
        <w:rPr>
          <w:rFonts w:ascii="Arial Black" w:hAnsi="Arial Black" w:cstheme="minorHAnsi"/>
          <w:sz w:val="16"/>
          <w:szCs w:val="16"/>
        </w:rPr>
        <w:t xml:space="preserve">  </w:t>
      </w:r>
      <w:r w:rsidR="00990BDC" w:rsidRPr="00990BDC">
        <w:rPr>
          <w:rFonts w:ascii="Arial Black" w:hAnsi="Arial Black" w:cstheme="minorHAnsi"/>
          <w:sz w:val="16"/>
          <w:szCs w:val="16"/>
        </w:rPr>
        <w:t xml:space="preserve">Bankaların Dönemler İtibariyle Üstlendikleri Piyasa Yapıcılıkları </w:t>
      </w:r>
      <w:r w:rsidR="00882201" w:rsidRPr="00990BDC">
        <w:rPr>
          <w:rFonts w:ascii="Arial Black" w:hAnsi="Arial Black" w:cstheme="minorHAnsi"/>
          <w:sz w:val="16"/>
          <w:szCs w:val="16"/>
        </w:rPr>
        <w:t xml:space="preserve"> </w:t>
      </w:r>
    </w:p>
    <w:p w:rsidR="007F3D4A" w:rsidRDefault="007F3D4A" w:rsidP="00FB0D8B">
      <w:pPr>
        <w:rPr>
          <w:rFonts w:cstheme="minorHAnsi"/>
          <w:noProof/>
          <w:sz w:val="24"/>
          <w:szCs w:val="24"/>
        </w:rPr>
      </w:pPr>
      <w:r>
        <w:rPr>
          <w:rFonts w:cstheme="minorHAnsi"/>
          <w:noProof/>
          <w:sz w:val="24"/>
          <w:szCs w:val="24"/>
        </w:rPr>
        <w:t xml:space="preserve">                                </w:t>
      </w:r>
      <w:r>
        <w:rPr>
          <w:rFonts w:cstheme="minorHAnsi"/>
          <w:noProof/>
          <w:sz w:val="24"/>
          <w:szCs w:val="24"/>
        </w:rPr>
        <w:drawing>
          <wp:inline distT="0" distB="0" distL="0" distR="0" wp14:anchorId="1FE32014">
            <wp:extent cx="3127375" cy="27432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7375" cy="2743200"/>
                    </a:xfrm>
                    <a:prstGeom prst="rect">
                      <a:avLst/>
                    </a:prstGeom>
                    <a:noFill/>
                  </pic:spPr>
                </pic:pic>
              </a:graphicData>
            </a:graphic>
          </wp:inline>
        </w:drawing>
      </w:r>
    </w:p>
    <w:p w:rsidR="00990BDC" w:rsidRDefault="00990BDC" w:rsidP="00990BDC">
      <w:pPr>
        <w:rPr>
          <w:rFonts w:cstheme="minorHAnsi"/>
          <w:sz w:val="24"/>
          <w:szCs w:val="24"/>
        </w:rPr>
      </w:pPr>
      <w:r w:rsidRPr="00990BDC">
        <w:rPr>
          <w:rFonts w:cstheme="minorHAnsi"/>
          <w:sz w:val="24"/>
          <w:szCs w:val="24"/>
        </w:rPr>
        <w:t>Halen mevduat kabul eden bankalardan sadece İş Bankası, Ziraat Bankası, Halkbank, Anadolu Bank, Tekstilbank ve Vakıflar Bankası’nda yabancılar söz sahibi değildir. Bunun dışındaki bankaların hemen hepsinde bir şekilde yabancıların belirleyici olduğu görülmektedir.</w:t>
      </w:r>
    </w:p>
    <w:p w:rsidR="00990BDC" w:rsidRDefault="00990BDC" w:rsidP="00990BDC">
      <w:pPr>
        <w:rPr>
          <w:rFonts w:cstheme="minorHAnsi"/>
          <w:sz w:val="24"/>
          <w:szCs w:val="24"/>
        </w:rPr>
      </w:pPr>
    </w:p>
    <w:p w:rsidR="005C1384" w:rsidRDefault="005C1384" w:rsidP="00990BDC">
      <w:pPr>
        <w:rPr>
          <w:rFonts w:cstheme="minorHAnsi"/>
          <w:sz w:val="24"/>
          <w:szCs w:val="24"/>
        </w:rPr>
      </w:pPr>
    </w:p>
    <w:p w:rsidR="005C1384" w:rsidRDefault="005C1384" w:rsidP="00990BDC">
      <w:pPr>
        <w:rPr>
          <w:rFonts w:ascii="Arial Black" w:hAnsi="Arial Black" w:cstheme="minorHAnsi"/>
          <w:sz w:val="24"/>
          <w:szCs w:val="24"/>
        </w:rPr>
      </w:pPr>
    </w:p>
    <w:p w:rsidR="005C1384" w:rsidRDefault="005C1384" w:rsidP="00990BDC">
      <w:pPr>
        <w:rPr>
          <w:rFonts w:ascii="Arial Black" w:hAnsi="Arial Black" w:cstheme="minorHAnsi"/>
          <w:sz w:val="24"/>
          <w:szCs w:val="24"/>
        </w:rPr>
      </w:pPr>
    </w:p>
    <w:p w:rsidR="005C1384" w:rsidRPr="005C1384" w:rsidRDefault="005C1384" w:rsidP="00990BDC">
      <w:pPr>
        <w:rPr>
          <w:rFonts w:ascii="Arial Black" w:hAnsi="Arial Black" w:cstheme="minorHAnsi"/>
          <w:sz w:val="24"/>
          <w:szCs w:val="24"/>
        </w:rPr>
      </w:pPr>
      <w:r>
        <w:rPr>
          <w:rFonts w:ascii="Arial Black" w:hAnsi="Arial Black" w:cstheme="minorHAnsi"/>
          <w:sz w:val="24"/>
          <w:szCs w:val="24"/>
        </w:rPr>
        <w:lastRenderedPageBreak/>
        <w:t>STATA</w:t>
      </w:r>
    </w:p>
    <w:p w:rsidR="005C1384" w:rsidRDefault="005C1384" w:rsidP="00990BDC">
      <w:pPr>
        <w:rPr>
          <w:rFonts w:ascii="Arial Black" w:hAnsi="Arial Black" w:cstheme="minorHAnsi"/>
          <w:sz w:val="24"/>
          <w:szCs w:val="24"/>
        </w:rPr>
      </w:pPr>
      <w:r>
        <w:rPr>
          <w:rFonts w:ascii="Arial Black" w:hAnsi="Arial Black" w:cstheme="minorHAnsi"/>
          <w:noProof/>
          <w:sz w:val="24"/>
          <w:szCs w:val="24"/>
        </w:rPr>
        <w:drawing>
          <wp:inline distT="0" distB="0" distL="0" distR="0" wp14:anchorId="1BC8F017">
            <wp:extent cx="5389245" cy="2212975"/>
            <wp:effectExtent l="0" t="0" r="190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9245" cy="2212975"/>
                    </a:xfrm>
                    <a:prstGeom prst="rect">
                      <a:avLst/>
                    </a:prstGeom>
                    <a:noFill/>
                  </pic:spPr>
                </pic:pic>
              </a:graphicData>
            </a:graphic>
          </wp:inline>
        </w:drawing>
      </w:r>
    </w:p>
    <w:p w:rsidR="005C1384" w:rsidRDefault="005C1384" w:rsidP="00990BDC">
      <w:pPr>
        <w:rPr>
          <w:rFonts w:ascii="Arial Black" w:hAnsi="Arial Black" w:cstheme="minorHAnsi"/>
          <w:sz w:val="24"/>
          <w:szCs w:val="24"/>
        </w:rPr>
      </w:pPr>
    </w:p>
    <w:p w:rsidR="005C1384" w:rsidRDefault="005C1384" w:rsidP="00990BDC">
      <w:pPr>
        <w:rPr>
          <w:rFonts w:ascii="Arial Black" w:hAnsi="Arial Black" w:cstheme="minorHAnsi"/>
          <w:sz w:val="24"/>
          <w:szCs w:val="24"/>
        </w:rPr>
      </w:pPr>
    </w:p>
    <w:p w:rsidR="005C1384" w:rsidRDefault="005C1384" w:rsidP="00990BDC">
      <w:pPr>
        <w:rPr>
          <w:rFonts w:ascii="Arial Black" w:hAnsi="Arial Black" w:cstheme="minorHAnsi"/>
          <w:sz w:val="24"/>
          <w:szCs w:val="24"/>
        </w:rPr>
      </w:pPr>
    </w:p>
    <w:p w:rsidR="005C1384" w:rsidRDefault="005C1384" w:rsidP="00990BDC">
      <w:pPr>
        <w:rPr>
          <w:rFonts w:ascii="Arial Black" w:hAnsi="Arial Black" w:cstheme="minorHAnsi"/>
          <w:sz w:val="24"/>
          <w:szCs w:val="24"/>
        </w:rPr>
      </w:pPr>
      <w:r>
        <w:rPr>
          <w:noProof/>
        </w:rPr>
        <w:drawing>
          <wp:inline distT="0" distB="0" distL="0" distR="0" wp14:anchorId="407F7938" wp14:editId="755A386D">
            <wp:extent cx="4543425" cy="3267075"/>
            <wp:effectExtent l="0" t="0" r="9525"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3425" cy="3267075"/>
                    </a:xfrm>
                    <a:prstGeom prst="rect">
                      <a:avLst/>
                    </a:prstGeom>
                    <a:noFill/>
                    <a:ln>
                      <a:noFill/>
                    </a:ln>
                  </pic:spPr>
                </pic:pic>
              </a:graphicData>
            </a:graphic>
          </wp:inline>
        </w:drawing>
      </w:r>
    </w:p>
    <w:p w:rsidR="005C1384" w:rsidRDefault="005C1384" w:rsidP="00990BDC">
      <w:pPr>
        <w:rPr>
          <w:rFonts w:ascii="Arial Black" w:hAnsi="Arial Black" w:cstheme="minorHAnsi"/>
          <w:sz w:val="24"/>
          <w:szCs w:val="24"/>
        </w:rPr>
      </w:pPr>
    </w:p>
    <w:p w:rsidR="005C1384" w:rsidRDefault="005C1384" w:rsidP="00990BDC">
      <w:pPr>
        <w:rPr>
          <w:rFonts w:ascii="Arial Black" w:hAnsi="Arial Black" w:cstheme="minorHAnsi"/>
          <w:sz w:val="24"/>
          <w:szCs w:val="24"/>
        </w:rPr>
      </w:pPr>
    </w:p>
    <w:p w:rsidR="005C1384" w:rsidRDefault="005C1384" w:rsidP="00990BDC">
      <w:pPr>
        <w:rPr>
          <w:rFonts w:ascii="Arial Black" w:hAnsi="Arial Black" w:cstheme="minorHAnsi"/>
          <w:sz w:val="24"/>
          <w:szCs w:val="24"/>
        </w:rPr>
      </w:pPr>
    </w:p>
    <w:p w:rsidR="005C1384" w:rsidRDefault="005C1384" w:rsidP="00990BDC">
      <w:pPr>
        <w:rPr>
          <w:rFonts w:ascii="Arial Black" w:hAnsi="Arial Black" w:cstheme="minorHAnsi"/>
          <w:sz w:val="24"/>
          <w:szCs w:val="24"/>
        </w:rPr>
      </w:pPr>
    </w:p>
    <w:p w:rsidR="005C1384" w:rsidRDefault="005C1384" w:rsidP="00990BDC">
      <w:pPr>
        <w:rPr>
          <w:rFonts w:ascii="Arial Black" w:hAnsi="Arial Black" w:cstheme="minorHAnsi"/>
          <w:sz w:val="24"/>
          <w:szCs w:val="24"/>
        </w:rPr>
      </w:pPr>
    </w:p>
    <w:p w:rsidR="00001968" w:rsidRDefault="00001968" w:rsidP="00990BDC">
      <w:pPr>
        <w:rPr>
          <w:rFonts w:ascii="Arial Black" w:hAnsi="Arial Black" w:cstheme="minorHAnsi"/>
          <w:sz w:val="24"/>
          <w:szCs w:val="24"/>
        </w:rPr>
      </w:pPr>
    </w:p>
    <w:p w:rsidR="00990BDC" w:rsidRDefault="00990BDC" w:rsidP="00990BDC">
      <w:pPr>
        <w:rPr>
          <w:rFonts w:ascii="Arial Black" w:hAnsi="Arial Black" w:cstheme="minorHAnsi"/>
          <w:sz w:val="24"/>
          <w:szCs w:val="24"/>
        </w:rPr>
      </w:pPr>
      <w:r w:rsidRPr="00990BDC">
        <w:rPr>
          <w:rFonts w:ascii="Arial Black" w:hAnsi="Arial Black" w:cstheme="minorHAnsi"/>
          <w:sz w:val="24"/>
          <w:szCs w:val="24"/>
        </w:rPr>
        <w:lastRenderedPageBreak/>
        <w:t>SONUÇ VE DEĞERLENDİRME</w:t>
      </w:r>
    </w:p>
    <w:p w:rsidR="009868DC" w:rsidRDefault="00990BDC" w:rsidP="009868DC">
      <w:pPr>
        <w:rPr>
          <w:rFonts w:cstheme="minorHAnsi"/>
          <w:sz w:val="24"/>
          <w:szCs w:val="24"/>
        </w:rPr>
      </w:pPr>
      <w:r>
        <w:rPr>
          <w:rFonts w:cstheme="minorHAnsi"/>
          <w:sz w:val="24"/>
          <w:szCs w:val="24"/>
        </w:rPr>
        <w:t>Dünyada birçok ülke de yabancı bankalar aktif rol oynamaktadır. Gelişmiş ülkelerin</w:t>
      </w:r>
      <w:r w:rsidR="009868DC">
        <w:rPr>
          <w:rFonts w:cstheme="minorHAnsi"/>
          <w:sz w:val="24"/>
          <w:szCs w:val="24"/>
        </w:rPr>
        <w:t xml:space="preserve"> yeni ve karlı Pazar arayışları ve gelişmekte olan ülkelerin de büyüme finansmanının sağlanabilmesi için fon talep etmektedirler. Finansal liberalleşmeye bu sebeplerden karlı bir politika olarak bakılmıştır. </w:t>
      </w:r>
      <w:r w:rsidR="009868DC" w:rsidRPr="009868DC">
        <w:rPr>
          <w:rFonts w:cstheme="minorHAnsi"/>
          <w:sz w:val="24"/>
          <w:szCs w:val="24"/>
        </w:rPr>
        <w:t>Yabancı bankaların ulusal ekonomiye olumlu etkileri olabileceği gibi, olu</w:t>
      </w:r>
      <w:r w:rsidR="009868DC">
        <w:rPr>
          <w:rFonts w:cstheme="minorHAnsi"/>
          <w:sz w:val="24"/>
          <w:szCs w:val="24"/>
        </w:rPr>
        <w:t>m</w:t>
      </w:r>
      <w:r w:rsidR="009868DC" w:rsidRPr="009868DC">
        <w:rPr>
          <w:rFonts w:cstheme="minorHAnsi"/>
          <w:sz w:val="24"/>
          <w:szCs w:val="24"/>
        </w:rPr>
        <w:t>suz etkileri de olabilmektedir. Yabancı banka girişlerinin rekabetçi bir baskı oluşturmak suretiyle</w:t>
      </w:r>
      <w:r w:rsidR="009868DC">
        <w:rPr>
          <w:rFonts w:cstheme="minorHAnsi"/>
          <w:sz w:val="24"/>
          <w:szCs w:val="24"/>
        </w:rPr>
        <w:t xml:space="preserve"> </w:t>
      </w:r>
      <w:r w:rsidR="009868DC" w:rsidRPr="009868DC">
        <w:rPr>
          <w:rFonts w:cstheme="minorHAnsi"/>
          <w:sz w:val="24"/>
          <w:szCs w:val="24"/>
        </w:rPr>
        <w:t>bankacılık sisteminin verimliliğini artırdığı düşünülmekle birlikte, daha istikrarlı bir bankacılık sistemi ve daha az değişken kredi arzı yaratmaya katkıda bulunası hususunun daha az açık olduğu ifade edilmektedir.</w:t>
      </w:r>
    </w:p>
    <w:p w:rsidR="00990BDC" w:rsidRDefault="009868DC" w:rsidP="009868DC">
      <w:pPr>
        <w:rPr>
          <w:rFonts w:cstheme="minorHAnsi"/>
          <w:sz w:val="24"/>
          <w:szCs w:val="24"/>
        </w:rPr>
      </w:pPr>
      <w:r w:rsidRPr="009868DC">
        <w:rPr>
          <w:rFonts w:cstheme="minorHAnsi"/>
          <w:sz w:val="24"/>
          <w:szCs w:val="24"/>
        </w:rPr>
        <w:t xml:space="preserve">Ülkemizde yabancı bankaların payları az olmakla birlikte, sektör paylarının artırılması, ülkenin, sıklıkla ihtiyaç duyduğu fonlama ihtiyacına katkıda bulunmalarında ve istikrarlı kredi kaynağı olmalarında etkili olacaktır.    </w:t>
      </w:r>
    </w:p>
    <w:p w:rsidR="009868DC" w:rsidRDefault="009868DC" w:rsidP="009868DC">
      <w:pPr>
        <w:rPr>
          <w:rFonts w:cstheme="minorHAnsi"/>
          <w:sz w:val="24"/>
          <w:szCs w:val="24"/>
        </w:rPr>
      </w:pPr>
    </w:p>
    <w:p w:rsidR="009868DC" w:rsidRDefault="009868DC" w:rsidP="009868DC">
      <w:pPr>
        <w:rPr>
          <w:rFonts w:cstheme="minorHAnsi"/>
          <w:sz w:val="24"/>
          <w:szCs w:val="24"/>
        </w:rPr>
      </w:pPr>
      <w:r w:rsidRPr="009868DC">
        <w:rPr>
          <w:rFonts w:cstheme="minorHAnsi"/>
          <w:sz w:val="24"/>
          <w:szCs w:val="24"/>
        </w:rPr>
        <w:t>Yabancı banka girişlerinin, ev sahibi ülkeye bi</w:t>
      </w:r>
      <w:r w:rsidR="00C96945">
        <w:rPr>
          <w:rFonts w:cstheme="minorHAnsi"/>
          <w:sz w:val="24"/>
          <w:szCs w:val="24"/>
        </w:rPr>
        <w:t>r</w:t>
      </w:r>
      <w:r w:rsidRPr="009868DC">
        <w:rPr>
          <w:rFonts w:cstheme="minorHAnsi"/>
          <w:sz w:val="24"/>
          <w:szCs w:val="24"/>
        </w:rPr>
        <w:t>takım avantajlar sağladığı göz ardı edilemez. Asıl problem bunun tam bir teslim olma konusuna getirilmemesidir. Avrupa Birliğine üye ülkelerde bu oran çok düşük seviyelerde iken, Türkiye’de bu oranın gittikçe artış kaydederek %50’li orana ulaşması düşündürücüdür. Devletin bu konuda gerekli düzenlemeleri yapması ve sınırlamalar getirmesi gerekmektedir.</w:t>
      </w:r>
      <w:r>
        <w:rPr>
          <w:rFonts w:cstheme="minorHAnsi"/>
          <w:sz w:val="24"/>
          <w:szCs w:val="24"/>
        </w:rPr>
        <w:t xml:space="preserve"> </w:t>
      </w:r>
      <w:r w:rsidRPr="009868DC">
        <w:rPr>
          <w:rFonts w:cstheme="minorHAnsi"/>
          <w:sz w:val="24"/>
          <w:szCs w:val="24"/>
        </w:rPr>
        <w:t>Yabancı banka girişlerinin ev</w:t>
      </w:r>
      <w:r>
        <w:rPr>
          <w:rFonts w:cstheme="minorHAnsi"/>
          <w:sz w:val="24"/>
          <w:szCs w:val="24"/>
        </w:rPr>
        <w:t xml:space="preserve"> </w:t>
      </w:r>
      <w:r w:rsidRPr="009868DC">
        <w:rPr>
          <w:rFonts w:cstheme="minorHAnsi"/>
          <w:sz w:val="24"/>
          <w:szCs w:val="24"/>
        </w:rPr>
        <w:t>sahibi ülkeye teknoloji, bilgi, yönetim ve denetim konusunda getireceği bi</w:t>
      </w:r>
      <w:r w:rsidR="00C96945">
        <w:rPr>
          <w:rFonts w:cstheme="minorHAnsi"/>
          <w:sz w:val="24"/>
          <w:szCs w:val="24"/>
        </w:rPr>
        <w:t>r</w:t>
      </w:r>
      <w:r w:rsidRPr="009868DC">
        <w:rPr>
          <w:rFonts w:cstheme="minorHAnsi"/>
          <w:sz w:val="24"/>
          <w:szCs w:val="24"/>
        </w:rPr>
        <w:t>takım yeniklikler ve düzenlemelerin yanı</w:t>
      </w:r>
      <w:r>
        <w:rPr>
          <w:rFonts w:cstheme="minorHAnsi"/>
          <w:sz w:val="24"/>
          <w:szCs w:val="24"/>
        </w:rPr>
        <w:t xml:space="preserve">nda </w:t>
      </w:r>
      <w:r w:rsidRPr="009868DC">
        <w:rPr>
          <w:rFonts w:cstheme="minorHAnsi"/>
          <w:sz w:val="24"/>
          <w:szCs w:val="24"/>
        </w:rPr>
        <w:t>özellikle finansal derinliği olmayan gelişmekte olan ülkelerde, yabancı banka payının artması, geçmiş yıllarda yaşanan finansal kriz tecrübelerine dayanılarak, olası bir finansal kriz ortamında ilk önce yabancı fonların ülke dışına çıkma ihtimali, krizin derinleşmesi ile birlikte   bütün piyasaları etkileyeceği   göz ardı edilmemelidir</w:t>
      </w:r>
      <w:r>
        <w:rPr>
          <w:rFonts w:cstheme="minorHAnsi"/>
          <w:sz w:val="24"/>
          <w:szCs w:val="24"/>
        </w:rPr>
        <w:t>.</w:t>
      </w:r>
    </w:p>
    <w:p w:rsidR="009868DC" w:rsidRDefault="009868DC" w:rsidP="009868DC">
      <w:pPr>
        <w:rPr>
          <w:rFonts w:cstheme="minorHAnsi"/>
          <w:sz w:val="24"/>
          <w:szCs w:val="24"/>
        </w:rPr>
      </w:pPr>
    </w:p>
    <w:p w:rsidR="009868DC" w:rsidRDefault="009868DC" w:rsidP="009868DC">
      <w:pPr>
        <w:rPr>
          <w:rFonts w:cstheme="minorHAnsi"/>
          <w:sz w:val="24"/>
          <w:szCs w:val="24"/>
        </w:rPr>
      </w:pPr>
    </w:p>
    <w:p w:rsidR="009868DC" w:rsidRDefault="009868DC" w:rsidP="009868DC">
      <w:pPr>
        <w:rPr>
          <w:rFonts w:cstheme="minorHAnsi"/>
          <w:sz w:val="24"/>
          <w:szCs w:val="24"/>
        </w:rPr>
      </w:pPr>
    </w:p>
    <w:p w:rsidR="009868DC" w:rsidRDefault="009868DC" w:rsidP="009868DC">
      <w:pPr>
        <w:rPr>
          <w:rFonts w:cstheme="minorHAnsi"/>
          <w:sz w:val="24"/>
          <w:szCs w:val="24"/>
        </w:rPr>
      </w:pPr>
    </w:p>
    <w:p w:rsidR="009868DC" w:rsidRDefault="009868DC" w:rsidP="009868DC">
      <w:pPr>
        <w:rPr>
          <w:rFonts w:cstheme="minorHAnsi"/>
          <w:sz w:val="24"/>
          <w:szCs w:val="24"/>
        </w:rPr>
      </w:pPr>
    </w:p>
    <w:p w:rsidR="009868DC" w:rsidRDefault="009868DC" w:rsidP="009868DC">
      <w:pPr>
        <w:rPr>
          <w:rFonts w:cstheme="minorHAnsi"/>
          <w:sz w:val="24"/>
          <w:szCs w:val="24"/>
        </w:rPr>
      </w:pPr>
    </w:p>
    <w:p w:rsidR="009868DC" w:rsidRDefault="009868DC" w:rsidP="009868DC">
      <w:pPr>
        <w:rPr>
          <w:rFonts w:cstheme="minorHAnsi"/>
          <w:sz w:val="24"/>
          <w:szCs w:val="24"/>
        </w:rPr>
      </w:pPr>
    </w:p>
    <w:p w:rsidR="009868DC" w:rsidRDefault="009868DC" w:rsidP="009868DC">
      <w:pPr>
        <w:rPr>
          <w:rFonts w:cstheme="minorHAnsi"/>
          <w:sz w:val="24"/>
          <w:szCs w:val="24"/>
        </w:rPr>
      </w:pPr>
    </w:p>
    <w:p w:rsidR="009868DC" w:rsidRDefault="009868DC" w:rsidP="009868DC">
      <w:pPr>
        <w:rPr>
          <w:rFonts w:cstheme="minorHAnsi"/>
          <w:sz w:val="24"/>
          <w:szCs w:val="24"/>
        </w:rPr>
      </w:pPr>
    </w:p>
    <w:p w:rsidR="009868DC" w:rsidRDefault="009868DC" w:rsidP="009868DC">
      <w:pPr>
        <w:rPr>
          <w:rFonts w:cstheme="minorHAnsi"/>
          <w:sz w:val="24"/>
          <w:szCs w:val="24"/>
        </w:rPr>
      </w:pPr>
    </w:p>
    <w:p w:rsidR="009868DC" w:rsidRDefault="009868DC" w:rsidP="009868DC">
      <w:pPr>
        <w:rPr>
          <w:rFonts w:cstheme="minorHAnsi"/>
          <w:sz w:val="24"/>
          <w:szCs w:val="24"/>
        </w:rPr>
      </w:pPr>
    </w:p>
    <w:p w:rsidR="009868DC" w:rsidRDefault="009868DC" w:rsidP="009868DC">
      <w:pPr>
        <w:rPr>
          <w:rFonts w:cstheme="minorHAnsi"/>
          <w:sz w:val="24"/>
          <w:szCs w:val="24"/>
        </w:rPr>
      </w:pPr>
    </w:p>
    <w:p w:rsidR="009868DC" w:rsidRDefault="009868DC" w:rsidP="009868DC">
      <w:pPr>
        <w:rPr>
          <w:rFonts w:ascii="Arial Black" w:hAnsi="Arial Black" w:cstheme="minorHAnsi"/>
          <w:sz w:val="24"/>
          <w:szCs w:val="24"/>
        </w:rPr>
      </w:pPr>
      <w:r>
        <w:rPr>
          <w:rFonts w:ascii="Arial Black" w:hAnsi="Arial Black" w:cstheme="minorHAnsi"/>
          <w:sz w:val="24"/>
          <w:szCs w:val="24"/>
        </w:rPr>
        <w:lastRenderedPageBreak/>
        <w:t>Kaynak</w:t>
      </w:r>
    </w:p>
    <w:p w:rsidR="009868DC" w:rsidRDefault="009868DC" w:rsidP="009868DC">
      <w:pPr>
        <w:rPr>
          <w:rFonts w:cstheme="minorHAnsi"/>
          <w:sz w:val="24"/>
          <w:szCs w:val="24"/>
        </w:rPr>
      </w:pPr>
      <w:r w:rsidRPr="009868DC">
        <w:rPr>
          <w:rFonts w:cstheme="minorHAnsi"/>
          <w:sz w:val="24"/>
          <w:szCs w:val="24"/>
        </w:rPr>
        <w:t>BDDK, Web Siteleri  http://www.bddk.org.tr (16 Mayıs 2008).</w:t>
      </w:r>
    </w:p>
    <w:p w:rsidR="002461B8" w:rsidRDefault="002461B8" w:rsidP="009868DC">
      <w:pPr>
        <w:rPr>
          <w:rFonts w:cstheme="minorHAnsi"/>
          <w:sz w:val="24"/>
          <w:szCs w:val="24"/>
        </w:rPr>
      </w:pPr>
      <w:r w:rsidRPr="002461B8">
        <w:rPr>
          <w:rFonts w:cstheme="minorHAnsi"/>
          <w:sz w:val="24"/>
          <w:szCs w:val="24"/>
        </w:rPr>
        <w:t>KEYDER, Nur.  “Para : Teori, Politika, Uygulama”, Ankara, 2002.</w:t>
      </w:r>
    </w:p>
    <w:p w:rsidR="002461B8" w:rsidRDefault="002461B8" w:rsidP="009868DC">
      <w:pPr>
        <w:rPr>
          <w:rFonts w:cstheme="minorHAnsi"/>
          <w:sz w:val="24"/>
          <w:szCs w:val="24"/>
        </w:rPr>
      </w:pPr>
      <w:hyperlink r:id="rId16" w:history="1">
        <w:r w:rsidRPr="003D02B6">
          <w:rPr>
            <w:rStyle w:val="Kpr"/>
            <w:rFonts w:cstheme="minorHAnsi"/>
            <w:sz w:val="24"/>
            <w:szCs w:val="24"/>
          </w:rPr>
          <w:t>www.tez.gov.tr</w:t>
        </w:r>
      </w:hyperlink>
    </w:p>
    <w:p w:rsidR="005C1384" w:rsidRDefault="005C1384" w:rsidP="009868DC">
      <w:pPr>
        <w:rPr>
          <w:rFonts w:cstheme="minorHAnsi"/>
          <w:sz w:val="24"/>
          <w:szCs w:val="24"/>
        </w:rPr>
      </w:pPr>
    </w:p>
    <w:p w:rsidR="002461B8" w:rsidRPr="009868DC" w:rsidRDefault="002461B8" w:rsidP="009868DC">
      <w:pPr>
        <w:rPr>
          <w:rFonts w:cstheme="minorHAnsi"/>
          <w:sz w:val="24"/>
          <w:szCs w:val="24"/>
        </w:rPr>
      </w:pPr>
    </w:p>
    <w:sectPr w:rsidR="002461B8" w:rsidRPr="009868DC" w:rsidSect="0000196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9D9" w:rsidRDefault="00DD39D9" w:rsidP="00F070D3">
      <w:pPr>
        <w:spacing w:after="0" w:line="240" w:lineRule="auto"/>
      </w:pPr>
      <w:r>
        <w:separator/>
      </w:r>
    </w:p>
  </w:endnote>
  <w:endnote w:type="continuationSeparator" w:id="0">
    <w:p w:rsidR="00DD39D9" w:rsidRDefault="00DD39D9" w:rsidP="00F0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9D9" w:rsidRDefault="00DD39D9" w:rsidP="00F070D3">
      <w:pPr>
        <w:spacing w:after="0" w:line="240" w:lineRule="auto"/>
      </w:pPr>
      <w:r>
        <w:separator/>
      </w:r>
    </w:p>
  </w:footnote>
  <w:footnote w:type="continuationSeparator" w:id="0">
    <w:p w:rsidR="00DD39D9" w:rsidRDefault="00DD39D9" w:rsidP="00F07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8B"/>
    <w:rsid w:val="00001968"/>
    <w:rsid w:val="00071436"/>
    <w:rsid w:val="002461B8"/>
    <w:rsid w:val="00264266"/>
    <w:rsid w:val="0040577E"/>
    <w:rsid w:val="004810AE"/>
    <w:rsid w:val="005C1384"/>
    <w:rsid w:val="00630CCC"/>
    <w:rsid w:val="007F3D4A"/>
    <w:rsid w:val="00842D80"/>
    <w:rsid w:val="00882201"/>
    <w:rsid w:val="008978CE"/>
    <w:rsid w:val="009868DC"/>
    <w:rsid w:val="00990BDC"/>
    <w:rsid w:val="009A56FC"/>
    <w:rsid w:val="009B69E0"/>
    <w:rsid w:val="009F0C1D"/>
    <w:rsid w:val="00A85046"/>
    <w:rsid w:val="00C96945"/>
    <w:rsid w:val="00CD724C"/>
    <w:rsid w:val="00DC2860"/>
    <w:rsid w:val="00DD07AF"/>
    <w:rsid w:val="00DD39D9"/>
    <w:rsid w:val="00F070D3"/>
    <w:rsid w:val="00FB0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644C3"/>
  <w15:chartTrackingRefBased/>
  <w15:docId w15:val="{3F68099E-6C3F-4477-B4FC-98C81CDF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tr-T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968"/>
  </w:style>
  <w:style w:type="paragraph" w:styleId="Balk1">
    <w:name w:val="heading 1"/>
    <w:basedOn w:val="Normal"/>
    <w:next w:val="Normal"/>
    <w:link w:val="Balk1Char"/>
    <w:uiPriority w:val="9"/>
    <w:qFormat/>
    <w:rsid w:val="00001968"/>
    <w:pPr>
      <w:keepNext/>
      <w:keepLines/>
      <w:pBdr>
        <w:left w:val="single" w:sz="12" w:space="12" w:color="B2B2B2"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alk2">
    <w:name w:val="heading 2"/>
    <w:basedOn w:val="Normal"/>
    <w:next w:val="Normal"/>
    <w:link w:val="Balk2Char"/>
    <w:uiPriority w:val="9"/>
    <w:semiHidden/>
    <w:unhideWhenUsed/>
    <w:qFormat/>
    <w:rsid w:val="00001968"/>
    <w:pPr>
      <w:keepNext/>
      <w:keepLines/>
      <w:spacing w:before="120" w:after="0" w:line="240" w:lineRule="auto"/>
      <w:outlineLvl w:val="1"/>
    </w:pPr>
    <w:rPr>
      <w:rFonts w:asciiTheme="majorHAnsi" w:eastAsiaTheme="majorEastAsia" w:hAnsiTheme="majorHAnsi" w:cstheme="majorBidi"/>
      <w:sz w:val="36"/>
      <w:szCs w:val="36"/>
    </w:rPr>
  </w:style>
  <w:style w:type="paragraph" w:styleId="Balk3">
    <w:name w:val="heading 3"/>
    <w:basedOn w:val="Normal"/>
    <w:next w:val="Normal"/>
    <w:link w:val="Balk3Char"/>
    <w:uiPriority w:val="9"/>
    <w:semiHidden/>
    <w:unhideWhenUsed/>
    <w:qFormat/>
    <w:rsid w:val="00001968"/>
    <w:pPr>
      <w:keepNext/>
      <w:keepLines/>
      <w:spacing w:before="80" w:after="0" w:line="240" w:lineRule="auto"/>
      <w:outlineLvl w:val="2"/>
    </w:pPr>
    <w:rPr>
      <w:rFonts w:asciiTheme="majorHAnsi" w:eastAsiaTheme="majorEastAsia" w:hAnsiTheme="majorHAnsi" w:cstheme="majorBidi"/>
      <w:caps/>
      <w:sz w:val="28"/>
      <w:szCs w:val="28"/>
    </w:rPr>
  </w:style>
  <w:style w:type="paragraph" w:styleId="Balk4">
    <w:name w:val="heading 4"/>
    <w:basedOn w:val="Normal"/>
    <w:next w:val="Normal"/>
    <w:link w:val="Balk4Char"/>
    <w:uiPriority w:val="9"/>
    <w:semiHidden/>
    <w:unhideWhenUsed/>
    <w:qFormat/>
    <w:rsid w:val="00001968"/>
    <w:pPr>
      <w:keepNext/>
      <w:keepLines/>
      <w:spacing w:before="80" w:after="0" w:line="240" w:lineRule="auto"/>
      <w:outlineLvl w:val="3"/>
    </w:pPr>
    <w:rPr>
      <w:rFonts w:asciiTheme="majorHAnsi" w:eastAsiaTheme="majorEastAsia" w:hAnsiTheme="majorHAnsi" w:cstheme="majorBidi"/>
      <w:i/>
      <w:iCs/>
      <w:sz w:val="28"/>
      <w:szCs w:val="28"/>
    </w:rPr>
  </w:style>
  <w:style w:type="paragraph" w:styleId="Balk5">
    <w:name w:val="heading 5"/>
    <w:basedOn w:val="Normal"/>
    <w:next w:val="Normal"/>
    <w:link w:val="Balk5Char"/>
    <w:uiPriority w:val="9"/>
    <w:semiHidden/>
    <w:unhideWhenUsed/>
    <w:qFormat/>
    <w:rsid w:val="00001968"/>
    <w:pPr>
      <w:keepNext/>
      <w:keepLines/>
      <w:spacing w:before="80" w:after="0" w:line="240" w:lineRule="auto"/>
      <w:outlineLvl w:val="4"/>
    </w:pPr>
    <w:rPr>
      <w:rFonts w:asciiTheme="majorHAnsi" w:eastAsiaTheme="majorEastAsia" w:hAnsiTheme="majorHAnsi" w:cstheme="majorBidi"/>
      <w:sz w:val="24"/>
      <w:szCs w:val="24"/>
    </w:rPr>
  </w:style>
  <w:style w:type="paragraph" w:styleId="Balk6">
    <w:name w:val="heading 6"/>
    <w:basedOn w:val="Normal"/>
    <w:next w:val="Normal"/>
    <w:link w:val="Balk6Char"/>
    <w:uiPriority w:val="9"/>
    <w:semiHidden/>
    <w:unhideWhenUsed/>
    <w:qFormat/>
    <w:rsid w:val="00001968"/>
    <w:pPr>
      <w:keepNext/>
      <w:keepLines/>
      <w:spacing w:before="80" w:after="0" w:line="240" w:lineRule="auto"/>
      <w:outlineLvl w:val="5"/>
    </w:pPr>
    <w:rPr>
      <w:rFonts w:asciiTheme="majorHAnsi" w:eastAsiaTheme="majorEastAsia" w:hAnsiTheme="majorHAnsi" w:cstheme="majorBidi"/>
      <w:i/>
      <w:iCs/>
      <w:sz w:val="24"/>
      <w:szCs w:val="24"/>
    </w:rPr>
  </w:style>
  <w:style w:type="paragraph" w:styleId="Balk7">
    <w:name w:val="heading 7"/>
    <w:basedOn w:val="Normal"/>
    <w:next w:val="Normal"/>
    <w:link w:val="Balk7Char"/>
    <w:uiPriority w:val="9"/>
    <w:semiHidden/>
    <w:unhideWhenUsed/>
    <w:qFormat/>
    <w:rsid w:val="0000196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alk8">
    <w:name w:val="heading 8"/>
    <w:basedOn w:val="Normal"/>
    <w:next w:val="Normal"/>
    <w:link w:val="Balk8Char"/>
    <w:uiPriority w:val="9"/>
    <w:semiHidden/>
    <w:unhideWhenUsed/>
    <w:qFormat/>
    <w:rsid w:val="00001968"/>
    <w:pPr>
      <w:keepNext/>
      <w:keepLines/>
      <w:spacing w:before="80" w:after="0" w:line="240" w:lineRule="auto"/>
      <w:outlineLvl w:val="7"/>
    </w:pPr>
    <w:rPr>
      <w:rFonts w:asciiTheme="majorHAnsi" w:eastAsiaTheme="majorEastAsia" w:hAnsiTheme="majorHAnsi" w:cstheme="majorBidi"/>
      <w:caps/>
    </w:rPr>
  </w:style>
  <w:style w:type="paragraph" w:styleId="Balk9">
    <w:name w:val="heading 9"/>
    <w:basedOn w:val="Normal"/>
    <w:next w:val="Normal"/>
    <w:link w:val="Balk9Char"/>
    <w:uiPriority w:val="9"/>
    <w:semiHidden/>
    <w:unhideWhenUsed/>
    <w:qFormat/>
    <w:rsid w:val="00001968"/>
    <w:pPr>
      <w:keepNext/>
      <w:keepLines/>
      <w:spacing w:before="80" w:after="0" w:line="240" w:lineRule="auto"/>
      <w:outlineLvl w:val="8"/>
    </w:pPr>
    <w:rPr>
      <w:rFonts w:asciiTheme="majorHAnsi" w:eastAsiaTheme="majorEastAsia" w:hAnsiTheme="majorHAnsi" w:cstheme="majorBidi"/>
      <w:i/>
      <w:iCs/>
      <w:cap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22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2201"/>
    <w:rPr>
      <w:rFonts w:ascii="Segoe UI" w:hAnsi="Segoe UI" w:cs="Segoe UI"/>
      <w:sz w:val="18"/>
      <w:szCs w:val="18"/>
    </w:rPr>
  </w:style>
  <w:style w:type="paragraph" w:styleId="stBilgi">
    <w:name w:val="header"/>
    <w:basedOn w:val="Normal"/>
    <w:link w:val="stBilgiChar"/>
    <w:uiPriority w:val="99"/>
    <w:unhideWhenUsed/>
    <w:rsid w:val="00F070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70D3"/>
  </w:style>
  <w:style w:type="paragraph" w:styleId="AltBilgi">
    <w:name w:val="footer"/>
    <w:basedOn w:val="Normal"/>
    <w:link w:val="AltBilgiChar"/>
    <w:uiPriority w:val="99"/>
    <w:unhideWhenUsed/>
    <w:rsid w:val="00F070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70D3"/>
  </w:style>
  <w:style w:type="character" w:styleId="Kpr">
    <w:name w:val="Hyperlink"/>
    <w:basedOn w:val="VarsaylanParagrafYazTipi"/>
    <w:uiPriority w:val="99"/>
    <w:unhideWhenUsed/>
    <w:rsid w:val="002461B8"/>
    <w:rPr>
      <w:color w:val="5F5F5F" w:themeColor="hyperlink"/>
      <w:u w:val="single"/>
    </w:rPr>
  </w:style>
  <w:style w:type="character" w:styleId="zmlenmeyenBahsetme">
    <w:name w:val="Unresolved Mention"/>
    <w:basedOn w:val="VarsaylanParagrafYazTipi"/>
    <w:uiPriority w:val="99"/>
    <w:semiHidden/>
    <w:unhideWhenUsed/>
    <w:rsid w:val="002461B8"/>
    <w:rPr>
      <w:color w:val="605E5C"/>
      <w:shd w:val="clear" w:color="auto" w:fill="E1DFDD"/>
    </w:rPr>
  </w:style>
  <w:style w:type="character" w:customStyle="1" w:styleId="Balk1Char">
    <w:name w:val="Başlık 1 Char"/>
    <w:basedOn w:val="VarsaylanParagrafYazTipi"/>
    <w:link w:val="Balk1"/>
    <w:uiPriority w:val="9"/>
    <w:rsid w:val="00001968"/>
    <w:rPr>
      <w:rFonts w:asciiTheme="majorHAnsi" w:eastAsiaTheme="majorEastAsia" w:hAnsiTheme="majorHAnsi" w:cstheme="majorBidi"/>
      <w:caps/>
      <w:spacing w:val="10"/>
      <w:sz w:val="36"/>
      <w:szCs w:val="36"/>
    </w:rPr>
  </w:style>
  <w:style w:type="character" w:customStyle="1" w:styleId="Balk2Char">
    <w:name w:val="Başlık 2 Char"/>
    <w:basedOn w:val="VarsaylanParagrafYazTipi"/>
    <w:link w:val="Balk2"/>
    <w:uiPriority w:val="9"/>
    <w:semiHidden/>
    <w:rsid w:val="00001968"/>
    <w:rPr>
      <w:rFonts w:asciiTheme="majorHAnsi" w:eastAsiaTheme="majorEastAsia" w:hAnsiTheme="majorHAnsi" w:cstheme="majorBidi"/>
      <w:sz w:val="36"/>
      <w:szCs w:val="36"/>
    </w:rPr>
  </w:style>
  <w:style w:type="character" w:customStyle="1" w:styleId="Balk3Char">
    <w:name w:val="Başlık 3 Char"/>
    <w:basedOn w:val="VarsaylanParagrafYazTipi"/>
    <w:link w:val="Balk3"/>
    <w:uiPriority w:val="9"/>
    <w:semiHidden/>
    <w:rsid w:val="00001968"/>
    <w:rPr>
      <w:rFonts w:asciiTheme="majorHAnsi" w:eastAsiaTheme="majorEastAsia" w:hAnsiTheme="majorHAnsi" w:cstheme="majorBidi"/>
      <w:caps/>
      <w:sz w:val="28"/>
      <w:szCs w:val="28"/>
    </w:rPr>
  </w:style>
  <w:style w:type="character" w:customStyle="1" w:styleId="Balk4Char">
    <w:name w:val="Başlık 4 Char"/>
    <w:basedOn w:val="VarsaylanParagrafYazTipi"/>
    <w:link w:val="Balk4"/>
    <w:uiPriority w:val="9"/>
    <w:semiHidden/>
    <w:rsid w:val="00001968"/>
    <w:rPr>
      <w:rFonts w:asciiTheme="majorHAnsi" w:eastAsiaTheme="majorEastAsia" w:hAnsiTheme="majorHAnsi" w:cstheme="majorBidi"/>
      <w:i/>
      <w:iCs/>
      <w:sz w:val="28"/>
      <w:szCs w:val="28"/>
    </w:rPr>
  </w:style>
  <w:style w:type="character" w:customStyle="1" w:styleId="Balk5Char">
    <w:name w:val="Başlık 5 Char"/>
    <w:basedOn w:val="VarsaylanParagrafYazTipi"/>
    <w:link w:val="Balk5"/>
    <w:uiPriority w:val="9"/>
    <w:semiHidden/>
    <w:rsid w:val="00001968"/>
    <w:rPr>
      <w:rFonts w:asciiTheme="majorHAnsi" w:eastAsiaTheme="majorEastAsia" w:hAnsiTheme="majorHAnsi" w:cstheme="majorBidi"/>
      <w:sz w:val="24"/>
      <w:szCs w:val="24"/>
    </w:rPr>
  </w:style>
  <w:style w:type="character" w:customStyle="1" w:styleId="Balk6Char">
    <w:name w:val="Başlık 6 Char"/>
    <w:basedOn w:val="VarsaylanParagrafYazTipi"/>
    <w:link w:val="Balk6"/>
    <w:uiPriority w:val="9"/>
    <w:semiHidden/>
    <w:rsid w:val="00001968"/>
    <w:rPr>
      <w:rFonts w:asciiTheme="majorHAnsi" w:eastAsiaTheme="majorEastAsia" w:hAnsiTheme="majorHAnsi" w:cstheme="majorBidi"/>
      <w:i/>
      <w:iCs/>
      <w:sz w:val="24"/>
      <w:szCs w:val="24"/>
    </w:rPr>
  </w:style>
  <w:style w:type="character" w:customStyle="1" w:styleId="Balk7Char">
    <w:name w:val="Başlık 7 Char"/>
    <w:basedOn w:val="VarsaylanParagrafYazTipi"/>
    <w:link w:val="Balk7"/>
    <w:uiPriority w:val="9"/>
    <w:semiHidden/>
    <w:rsid w:val="00001968"/>
    <w:rPr>
      <w:rFonts w:asciiTheme="majorHAnsi" w:eastAsiaTheme="majorEastAsia" w:hAnsiTheme="majorHAnsi" w:cstheme="majorBidi"/>
      <w:color w:val="595959" w:themeColor="text1" w:themeTint="A6"/>
      <w:sz w:val="24"/>
      <w:szCs w:val="24"/>
    </w:rPr>
  </w:style>
  <w:style w:type="character" w:customStyle="1" w:styleId="Balk8Char">
    <w:name w:val="Başlık 8 Char"/>
    <w:basedOn w:val="VarsaylanParagrafYazTipi"/>
    <w:link w:val="Balk8"/>
    <w:uiPriority w:val="9"/>
    <w:semiHidden/>
    <w:rsid w:val="00001968"/>
    <w:rPr>
      <w:rFonts w:asciiTheme="majorHAnsi" w:eastAsiaTheme="majorEastAsia" w:hAnsiTheme="majorHAnsi" w:cstheme="majorBidi"/>
      <w:caps/>
    </w:rPr>
  </w:style>
  <w:style w:type="character" w:customStyle="1" w:styleId="Balk9Char">
    <w:name w:val="Başlık 9 Char"/>
    <w:basedOn w:val="VarsaylanParagrafYazTipi"/>
    <w:link w:val="Balk9"/>
    <w:uiPriority w:val="9"/>
    <w:semiHidden/>
    <w:rsid w:val="00001968"/>
    <w:rPr>
      <w:rFonts w:asciiTheme="majorHAnsi" w:eastAsiaTheme="majorEastAsia" w:hAnsiTheme="majorHAnsi" w:cstheme="majorBidi"/>
      <w:i/>
      <w:iCs/>
      <w:caps/>
    </w:rPr>
  </w:style>
  <w:style w:type="paragraph" w:styleId="ResimYazs">
    <w:name w:val="caption"/>
    <w:basedOn w:val="Normal"/>
    <w:next w:val="Normal"/>
    <w:uiPriority w:val="35"/>
    <w:semiHidden/>
    <w:unhideWhenUsed/>
    <w:qFormat/>
    <w:rsid w:val="00001968"/>
    <w:pPr>
      <w:spacing w:line="240" w:lineRule="auto"/>
    </w:pPr>
    <w:rPr>
      <w:b/>
      <w:bCs/>
      <w:color w:val="B2B2B2" w:themeColor="accent2"/>
      <w:spacing w:val="10"/>
      <w:sz w:val="16"/>
      <w:szCs w:val="16"/>
    </w:rPr>
  </w:style>
  <w:style w:type="paragraph" w:styleId="KonuBal">
    <w:name w:val="Title"/>
    <w:basedOn w:val="Normal"/>
    <w:next w:val="Normal"/>
    <w:link w:val="KonuBalChar"/>
    <w:uiPriority w:val="10"/>
    <w:qFormat/>
    <w:rsid w:val="00001968"/>
    <w:pPr>
      <w:spacing w:after="0" w:line="240" w:lineRule="auto"/>
      <w:contextualSpacing/>
    </w:pPr>
    <w:rPr>
      <w:rFonts w:asciiTheme="majorHAnsi" w:eastAsiaTheme="majorEastAsia" w:hAnsiTheme="majorHAnsi" w:cstheme="majorBidi"/>
      <w:caps/>
      <w:spacing w:val="40"/>
      <w:sz w:val="76"/>
      <w:szCs w:val="76"/>
    </w:rPr>
  </w:style>
  <w:style w:type="character" w:customStyle="1" w:styleId="KonuBalChar">
    <w:name w:val="Konu Başlığı Char"/>
    <w:basedOn w:val="VarsaylanParagrafYazTipi"/>
    <w:link w:val="KonuBal"/>
    <w:uiPriority w:val="10"/>
    <w:rsid w:val="00001968"/>
    <w:rPr>
      <w:rFonts w:asciiTheme="majorHAnsi" w:eastAsiaTheme="majorEastAsia" w:hAnsiTheme="majorHAnsi" w:cstheme="majorBidi"/>
      <w:caps/>
      <w:spacing w:val="40"/>
      <w:sz w:val="76"/>
      <w:szCs w:val="76"/>
    </w:rPr>
  </w:style>
  <w:style w:type="paragraph" w:styleId="Altyaz">
    <w:name w:val="Subtitle"/>
    <w:basedOn w:val="Normal"/>
    <w:next w:val="Normal"/>
    <w:link w:val="AltyazChar"/>
    <w:uiPriority w:val="11"/>
    <w:qFormat/>
    <w:rsid w:val="00001968"/>
    <w:pPr>
      <w:numPr>
        <w:ilvl w:val="1"/>
      </w:numPr>
      <w:spacing w:after="240"/>
    </w:pPr>
    <w:rPr>
      <w:color w:val="000000" w:themeColor="text1"/>
      <w:sz w:val="24"/>
      <w:szCs w:val="24"/>
    </w:rPr>
  </w:style>
  <w:style w:type="character" w:customStyle="1" w:styleId="AltyazChar">
    <w:name w:val="Altyazı Char"/>
    <w:basedOn w:val="VarsaylanParagrafYazTipi"/>
    <w:link w:val="Altyaz"/>
    <w:uiPriority w:val="11"/>
    <w:rsid w:val="00001968"/>
    <w:rPr>
      <w:color w:val="000000" w:themeColor="text1"/>
      <w:sz w:val="24"/>
      <w:szCs w:val="24"/>
    </w:rPr>
  </w:style>
  <w:style w:type="character" w:styleId="Gl">
    <w:name w:val="Strong"/>
    <w:basedOn w:val="VarsaylanParagrafYazTipi"/>
    <w:uiPriority w:val="22"/>
    <w:qFormat/>
    <w:rsid w:val="00001968"/>
    <w:rPr>
      <w:rFonts w:asciiTheme="minorHAnsi" w:eastAsiaTheme="minorEastAsia" w:hAnsiTheme="minorHAnsi" w:cstheme="minorBidi"/>
      <w:b/>
      <w:bCs/>
      <w:spacing w:val="0"/>
      <w:w w:val="100"/>
      <w:position w:val="0"/>
      <w:sz w:val="20"/>
      <w:szCs w:val="20"/>
    </w:rPr>
  </w:style>
  <w:style w:type="character" w:styleId="Vurgu">
    <w:name w:val="Emphasis"/>
    <w:basedOn w:val="VarsaylanParagrafYazTipi"/>
    <w:uiPriority w:val="20"/>
    <w:qFormat/>
    <w:rsid w:val="00001968"/>
    <w:rPr>
      <w:rFonts w:asciiTheme="minorHAnsi" w:eastAsiaTheme="minorEastAsia" w:hAnsiTheme="minorHAnsi" w:cstheme="minorBidi"/>
      <w:i/>
      <w:iCs/>
      <w:color w:val="858585" w:themeColor="accent2" w:themeShade="BF"/>
      <w:sz w:val="20"/>
      <w:szCs w:val="20"/>
    </w:rPr>
  </w:style>
  <w:style w:type="paragraph" w:styleId="AralkYok">
    <w:name w:val="No Spacing"/>
    <w:uiPriority w:val="1"/>
    <w:qFormat/>
    <w:rsid w:val="00001968"/>
    <w:pPr>
      <w:spacing w:after="0" w:line="240" w:lineRule="auto"/>
    </w:pPr>
  </w:style>
  <w:style w:type="paragraph" w:styleId="Alnt">
    <w:name w:val="Quote"/>
    <w:basedOn w:val="Normal"/>
    <w:next w:val="Normal"/>
    <w:link w:val="AlntChar"/>
    <w:uiPriority w:val="29"/>
    <w:qFormat/>
    <w:rsid w:val="00001968"/>
    <w:pPr>
      <w:spacing w:before="160"/>
      <w:ind w:left="720"/>
    </w:pPr>
    <w:rPr>
      <w:rFonts w:asciiTheme="majorHAnsi" w:eastAsiaTheme="majorEastAsia" w:hAnsiTheme="majorHAnsi" w:cstheme="majorBidi"/>
      <w:sz w:val="24"/>
      <w:szCs w:val="24"/>
    </w:rPr>
  </w:style>
  <w:style w:type="character" w:customStyle="1" w:styleId="AlntChar">
    <w:name w:val="Alıntı Char"/>
    <w:basedOn w:val="VarsaylanParagrafYazTipi"/>
    <w:link w:val="Alnt"/>
    <w:uiPriority w:val="29"/>
    <w:rsid w:val="00001968"/>
    <w:rPr>
      <w:rFonts w:asciiTheme="majorHAnsi" w:eastAsiaTheme="majorEastAsia" w:hAnsiTheme="majorHAnsi" w:cstheme="majorBidi"/>
      <w:sz w:val="24"/>
      <w:szCs w:val="24"/>
    </w:rPr>
  </w:style>
  <w:style w:type="paragraph" w:styleId="GlAlnt">
    <w:name w:val="Intense Quote"/>
    <w:basedOn w:val="Normal"/>
    <w:next w:val="Normal"/>
    <w:link w:val="GlAlntChar"/>
    <w:uiPriority w:val="30"/>
    <w:qFormat/>
    <w:rsid w:val="00001968"/>
    <w:pPr>
      <w:spacing w:before="100" w:beforeAutospacing="1" w:after="240"/>
      <w:ind w:left="936" w:right="936"/>
      <w:jc w:val="center"/>
    </w:pPr>
    <w:rPr>
      <w:rFonts w:asciiTheme="majorHAnsi" w:eastAsiaTheme="majorEastAsia" w:hAnsiTheme="majorHAnsi" w:cstheme="majorBidi"/>
      <w:caps/>
      <w:color w:val="858585" w:themeColor="accent2" w:themeShade="BF"/>
      <w:spacing w:val="10"/>
      <w:sz w:val="28"/>
      <w:szCs w:val="28"/>
    </w:rPr>
  </w:style>
  <w:style w:type="character" w:customStyle="1" w:styleId="GlAlntChar">
    <w:name w:val="Güçlü Alıntı Char"/>
    <w:basedOn w:val="VarsaylanParagrafYazTipi"/>
    <w:link w:val="GlAlnt"/>
    <w:uiPriority w:val="30"/>
    <w:rsid w:val="00001968"/>
    <w:rPr>
      <w:rFonts w:asciiTheme="majorHAnsi" w:eastAsiaTheme="majorEastAsia" w:hAnsiTheme="majorHAnsi" w:cstheme="majorBidi"/>
      <w:caps/>
      <w:color w:val="858585" w:themeColor="accent2" w:themeShade="BF"/>
      <w:spacing w:val="10"/>
      <w:sz w:val="28"/>
      <w:szCs w:val="28"/>
    </w:rPr>
  </w:style>
  <w:style w:type="character" w:styleId="HafifVurgulama">
    <w:name w:val="Subtle Emphasis"/>
    <w:basedOn w:val="VarsaylanParagrafYazTipi"/>
    <w:uiPriority w:val="19"/>
    <w:qFormat/>
    <w:rsid w:val="00001968"/>
    <w:rPr>
      <w:i/>
      <w:iCs/>
      <w:color w:val="auto"/>
    </w:rPr>
  </w:style>
  <w:style w:type="character" w:styleId="GlVurgulama">
    <w:name w:val="Intense Emphasis"/>
    <w:basedOn w:val="VarsaylanParagrafYazTipi"/>
    <w:uiPriority w:val="21"/>
    <w:qFormat/>
    <w:rsid w:val="00001968"/>
    <w:rPr>
      <w:rFonts w:asciiTheme="minorHAnsi" w:eastAsiaTheme="minorEastAsia" w:hAnsiTheme="minorHAnsi" w:cstheme="minorBidi"/>
      <w:b/>
      <w:bCs/>
      <w:i/>
      <w:iCs/>
      <w:color w:val="858585" w:themeColor="accent2" w:themeShade="BF"/>
      <w:spacing w:val="0"/>
      <w:w w:val="100"/>
      <w:position w:val="0"/>
      <w:sz w:val="20"/>
      <w:szCs w:val="20"/>
    </w:rPr>
  </w:style>
  <w:style w:type="character" w:styleId="HafifBavuru">
    <w:name w:val="Subtle Reference"/>
    <w:basedOn w:val="VarsaylanParagrafYazTipi"/>
    <w:uiPriority w:val="31"/>
    <w:qFormat/>
    <w:rsid w:val="0000196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GlBavuru">
    <w:name w:val="Intense Reference"/>
    <w:basedOn w:val="VarsaylanParagrafYazTipi"/>
    <w:uiPriority w:val="32"/>
    <w:qFormat/>
    <w:rsid w:val="0000196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tapBal">
    <w:name w:val="Book Title"/>
    <w:basedOn w:val="VarsaylanParagrafYazTipi"/>
    <w:uiPriority w:val="33"/>
    <w:qFormat/>
    <w:rsid w:val="00001968"/>
    <w:rPr>
      <w:rFonts w:asciiTheme="minorHAnsi" w:eastAsiaTheme="minorEastAsia" w:hAnsiTheme="minorHAnsi" w:cstheme="minorBidi"/>
      <w:b/>
      <w:bCs/>
      <w:i/>
      <w:iCs/>
      <w:caps w:val="0"/>
      <w:smallCaps w:val="0"/>
      <w:color w:val="auto"/>
      <w:spacing w:val="10"/>
      <w:w w:val="100"/>
      <w:sz w:val="20"/>
      <w:szCs w:val="20"/>
    </w:rPr>
  </w:style>
  <w:style w:type="paragraph" w:styleId="TBal">
    <w:name w:val="TOC Heading"/>
    <w:basedOn w:val="Balk1"/>
    <w:next w:val="Normal"/>
    <w:uiPriority w:val="39"/>
    <w:semiHidden/>
    <w:unhideWhenUsed/>
    <w:qFormat/>
    <w:rsid w:val="000019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z.gov.t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563B5-D8C4-4F38-9173-8C3C4058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1622</Words>
  <Characters>9248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akyüz</dc:creator>
  <cp:keywords/>
  <dc:description/>
  <cp:lastModifiedBy>gamze akyüz</cp:lastModifiedBy>
  <cp:revision>2</cp:revision>
  <dcterms:created xsi:type="dcterms:W3CDTF">2019-05-07T20:04:00Z</dcterms:created>
  <dcterms:modified xsi:type="dcterms:W3CDTF">2019-05-07T20:04:00Z</dcterms:modified>
</cp:coreProperties>
</file>