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168" w:rsidRDefault="00F720F5" w:rsidP="008C7C34">
      <w:pPr>
        <w:jc w:val="center"/>
        <w:rPr>
          <w:b/>
          <w:sz w:val="24"/>
        </w:rPr>
      </w:pPr>
      <w:r>
        <w:rPr>
          <w:b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24" o:spid="_x0000_s1026" type="#_x0000_t75" alt="Açıklama: http://www.haber.sakarya.edu.tr/kutuphane/download/logo/dikeylogo.png" style="position:absolute;left:0;text-align:left;margin-left:-20.7pt;margin-top:-5.1pt;width:49.55pt;height:96.2pt;z-index:1;visibility:visible">
            <v:imagedata r:id="rId7" o:title="dikeylogo"/>
            <w10:wrap type="square"/>
          </v:shape>
        </w:pict>
      </w:r>
    </w:p>
    <w:p w:rsidR="00564168" w:rsidRDefault="00564168" w:rsidP="008C7C34">
      <w:pPr>
        <w:jc w:val="center"/>
        <w:rPr>
          <w:b/>
          <w:sz w:val="24"/>
        </w:rPr>
      </w:pPr>
    </w:p>
    <w:p w:rsidR="00564168" w:rsidRDefault="00564168" w:rsidP="008C7C34">
      <w:pPr>
        <w:jc w:val="center"/>
        <w:rPr>
          <w:b/>
          <w:sz w:val="24"/>
        </w:rPr>
      </w:pPr>
    </w:p>
    <w:p w:rsidR="008C7C34" w:rsidRPr="003179D1" w:rsidRDefault="00673EBD" w:rsidP="008C7C34">
      <w:pPr>
        <w:jc w:val="center"/>
        <w:rPr>
          <w:b/>
          <w:sz w:val="24"/>
        </w:rPr>
      </w:pPr>
      <w:r>
        <w:rPr>
          <w:b/>
          <w:sz w:val="24"/>
        </w:rPr>
        <w:t>SİYASAL BİLGİLER F</w:t>
      </w:r>
      <w:r w:rsidR="00945187" w:rsidRPr="003179D1">
        <w:rPr>
          <w:b/>
          <w:sz w:val="24"/>
        </w:rPr>
        <w:t>AKÜLTESİ</w:t>
      </w:r>
      <w:r w:rsidR="0032586F" w:rsidRPr="003179D1">
        <w:rPr>
          <w:b/>
          <w:sz w:val="24"/>
        </w:rPr>
        <w:t xml:space="preserve"> DEKANLIĞI</w:t>
      </w:r>
    </w:p>
    <w:p w:rsidR="008C7C34" w:rsidRPr="003179D1" w:rsidRDefault="00F3267E" w:rsidP="008C7C34">
      <w:pPr>
        <w:jc w:val="center"/>
        <w:rPr>
          <w:b/>
          <w:sz w:val="24"/>
        </w:rPr>
      </w:pPr>
      <w:r w:rsidRPr="003179D1">
        <w:rPr>
          <w:b/>
          <w:sz w:val="24"/>
        </w:rPr>
        <w:t xml:space="preserve"> </w:t>
      </w:r>
      <w:r w:rsidR="00EC1211">
        <w:rPr>
          <w:b/>
          <w:sz w:val="24"/>
        </w:rPr>
        <w:t xml:space="preserve">FİNANSAL EKONOMETRİ </w:t>
      </w:r>
      <w:bookmarkStart w:id="0" w:name="_GoBack"/>
      <w:bookmarkEnd w:id="0"/>
      <w:r w:rsidRPr="003179D1">
        <w:rPr>
          <w:b/>
          <w:sz w:val="24"/>
        </w:rPr>
        <w:t xml:space="preserve">BÖLÜM BAŞKANLIĞINA </w:t>
      </w:r>
    </w:p>
    <w:p w:rsidR="008C7C34" w:rsidRPr="003179D1" w:rsidRDefault="008C7C34" w:rsidP="008C7C34">
      <w:pPr>
        <w:jc w:val="both"/>
        <w:rPr>
          <w:b/>
          <w:sz w:val="24"/>
        </w:rPr>
      </w:pPr>
    </w:p>
    <w:p w:rsidR="008C7C34" w:rsidRPr="003179D1" w:rsidRDefault="008C7C34" w:rsidP="008C7C34">
      <w:pPr>
        <w:jc w:val="both"/>
        <w:rPr>
          <w:b/>
          <w:sz w:val="24"/>
        </w:rPr>
      </w:pPr>
    </w:p>
    <w:p w:rsidR="00C469F9" w:rsidRPr="00C469F9" w:rsidRDefault="00C11F92" w:rsidP="00C11F92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 xml:space="preserve">        </w:t>
      </w:r>
      <w:r w:rsidR="00C469F9" w:rsidRPr="00C469F9">
        <w:rPr>
          <w:sz w:val="24"/>
        </w:rPr>
        <w:t>Önceki Öğrenmelerin Tanınması Senato Esasları kapsamında aşağıda belirtilen derslerden</w:t>
      </w:r>
      <w:r>
        <w:rPr>
          <w:sz w:val="24"/>
        </w:rPr>
        <w:t xml:space="preserve"> </w:t>
      </w:r>
      <w:r w:rsidR="00C469F9" w:rsidRPr="00C469F9">
        <w:rPr>
          <w:sz w:val="24"/>
        </w:rPr>
        <w:t>yapılacak Muafiyet Sınavına girmem hususunda gereğini arz ederim.</w:t>
      </w:r>
    </w:p>
    <w:p w:rsidR="008C7C34" w:rsidRPr="003179D1" w:rsidRDefault="008C7C34" w:rsidP="008C7C34">
      <w:pPr>
        <w:jc w:val="both"/>
        <w:rPr>
          <w:sz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60"/>
        <w:gridCol w:w="5510"/>
        <w:gridCol w:w="2268"/>
      </w:tblGrid>
      <w:tr w:rsidR="00F3267E" w:rsidRPr="003179D1" w:rsidTr="00F3267E">
        <w:trPr>
          <w:cantSplit/>
          <w:trHeight w:val="384"/>
        </w:trPr>
        <w:tc>
          <w:tcPr>
            <w:tcW w:w="1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67E" w:rsidRPr="00C85E55" w:rsidRDefault="00F3267E" w:rsidP="00790EB6">
            <w:pPr>
              <w:pStyle w:val="Balk2"/>
              <w:jc w:val="left"/>
              <w:rPr>
                <w:rFonts w:ascii="Times New Roman" w:hAnsi="Times New Roman"/>
              </w:rPr>
            </w:pPr>
            <w:r w:rsidRPr="00C85E55">
              <w:rPr>
                <w:rFonts w:ascii="Times New Roman" w:hAnsi="Times New Roman"/>
              </w:rPr>
              <w:t>Adı ve Soyadı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67E" w:rsidRPr="003179D1" w:rsidRDefault="00F3267E" w:rsidP="00790EB6">
            <w:pPr>
              <w:rPr>
                <w:b/>
              </w:rPr>
            </w:pPr>
            <w:r w:rsidRPr="003179D1">
              <w:rPr>
                <w:b/>
              </w:rPr>
              <w:t>:</w:t>
            </w:r>
          </w:p>
        </w:tc>
        <w:tc>
          <w:tcPr>
            <w:tcW w:w="5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67E" w:rsidRPr="003179D1" w:rsidRDefault="00F3267E" w:rsidP="00790EB6"/>
        </w:tc>
        <w:tc>
          <w:tcPr>
            <w:tcW w:w="226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3267E" w:rsidRPr="003179D1" w:rsidRDefault="00F3267E" w:rsidP="00790EB6">
            <w:pPr>
              <w:jc w:val="center"/>
            </w:pPr>
          </w:p>
          <w:p w:rsidR="00F3267E" w:rsidRPr="003179D1" w:rsidRDefault="00F3267E" w:rsidP="00790EB6">
            <w:pPr>
              <w:jc w:val="center"/>
            </w:pPr>
          </w:p>
          <w:p w:rsidR="00F3267E" w:rsidRPr="003179D1" w:rsidRDefault="00F3267E" w:rsidP="00790EB6">
            <w:pPr>
              <w:jc w:val="center"/>
            </w:pPr>
            <w:r w:rsidRPr="003179D1">
              <w:t>… / … / 20.....</w:t>
            </w:r>
          </w:p>
          <w:p w:rsidR="00F3267E" w:rsidRPr="003179D1" w:rsidRDefault="00F3267E" w:rsidP="00790EB6">
            <w:pPr>
              <w:jc w:val="center"/>
              <w:rPr>
                <w:sz w:val="16"/>
              </w:rPr>
            </w:pPr>
          </w:p>
          <w:p w:rsidR="00F3267E" w:rsidRPr="003179D1" w:rsidRDefault="00F3267E" w:rsidP="00790EB6">
            <w:pPr>
              <w:jc w:val="center"/>
              <w:rPr>
                <w:sz w:val="16"/>
              </w:rPr>
            </w:pPr>
          </w:p>
          <w:p w:rsidR="00F3267E" w:rsidRPr="003179D1" w:rsidRDefault="00F3267E" w:rsidP="00790EB6">
            <w:pPr>
              <w:jc w:val="center"/>
              <w:rPr>
                <w:sz w:val="16"/>
              </w:rPr>
            </w:pPr>
          </w:p>
          <w:p w:rsidR="00F3267E" w:rsidRPr="003179D1" w:rsidRDefault="00F3267E" w:rsidP="00790EB6">
            <w:pPr>
              <w:jc w:val="center"/>
              <w:rPr>
                <w:sz w:val="16"/>
              </w:rPr>
            </w:pPr>
          </w:p>
          <w:p w:rsidR="00F3267E" w:rsidRPr="003179D1" w:rsidRDefault="00F3267E" w:rsidP="00790EB6">
            <w:pPr>
              <w:jc w:val="center"/>
              <w:rPr>
                <w:sz w:val="16"/>
              </w:rPr>
            </w:pPr>
          </w:p>
          <w:p w:rsidR="00F3267E" w:rsidRPr="003179D1" w:rsidRDefault="00F3267E" w:rsidP="00790EB6">
            <w:pPr>
              <w:jc w:val="center"/>
              <w:rPr>
                <w:sz w:val="16"/>
                <w:szCs w:val="16"/>
              </w:rPr>
            </w:pPr>
          </w:p>
          <w:p w:rsidR="00F3267E" w:rsidRPr="003179D1" w:rsidRDefault="00F3267E" w:rsidP="00790EB6">
            <w:pPr>
              <w:jc w:val="center"/>
              <w:rPr>
                <w:b/>
                <w:color w:val="7F7F7F"/>
                <w:szCs w:val="16"/>
              </w:rPr>
            </w:pPr>
            <w:r w:rsidRPr="003179D1">
              <w:rPr>
                <w:b/>
                <w:color w:val="7F7F7F"/>
                <w:sz w:val="18"/>
                <w:szCs w:val="16"/>
              </w:rPr>
              <w:t>İMZA</w:t>
            </w:r>
          </w:p>
        </w:tc>
      </w:tr>
      <w:tr w:rsidR="00F3267E" w:rsidRPr="003179D1" w:rsidTr="00F3267E">
        <w:trPr>
          <w:cantSplit/>
          <w:trHeight w:val="357"/>
        </w:trPr>
        <w:tc>
          <w:tcPr>
            <w:tcW w:w="1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67E" w:rsidRPr="00C85E55" w:rsidRDefault="00F3267E" w:rsidP="00790EB6">
            <w:pPr>
              <w:pStyle w:val="Balk2"/>
              <w:jc w:val="left"/>
              <w:rPr>
                <w:rFonts w:ascii="Times New Roman" w:hAnsi="Times New Roman"/>
              </w:rPr>
            </w:pPr>
            <w:r w:rsidRPr="00C85E55">
              <w:rPr>
                <w:rFonts w:ascii="Times New Roman" w:hAnsi="Times New Roman"/>
              </w:rPr>
              <w:t>Öğrenci No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67E" w:rsidRPr="003179D1" w:rsidRDefault="00F3267E" w:rsidP="00790EB6">
            <w:pPr>
              <w:rPr>
                <w:b/>
              </w:rPr>
            </w:pPr>
            <w:r w:rsidRPr="003179D1">
              <w:rPr>
                <w:b/>
              </w:rPr>
              <w:t>:</w:t>
            </w:r>
          </w:p>
        </w:tc>
        <w:tc>
          <w:tcPr>
            <w:tcW w:w="5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67E" w:rsidRPr="003179D1" w:rsidRDefault="00F3267E" w:rsidP="00790EB6"/>
        </w:tc>
        <w:tc>
          <w:tcPr>
            <w:tcW w:w="226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3267E" w:rsidRPr="003179D1" w:rsidRDefault="00F3267E" w:rsidP="00790EB6">
            <w:pPr>
              <w:rPr>
                <w:szCs w:val="16"/>
              </w:rPr>
            </w:pPr>
          </w:p>
        </w:tc>
      </w:tr>
      <w:tr w:rsidR="00F3267E" w:rsidRPr="003179D1" w:rsidTr="00F3267E">
        <w:trPr>
          <w:cantSplit/>
          <w:trHeight w:val="405"/>
        </w:trPr>
        <w:tc>
          <w:tcPr>
            <w:tcW w:w="1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67E" w:rsidRPr="00C85E55" w:rsidRDefault="00C85087" w:rsidP="00790EB6">
            <w:pPr>
              <w:pStyle w:val="Balk2"/>
              <w:jc w:val="left"/>
              <w:rPr>
                <w:rFonts w:ascii="Times New Roman" w:hAnsi="Times New Roman"/>
              </w:rPr>
            </w:pPr>
            <w:r w:rsidRPr="00C85E55">
              <w:rPr>
                <w:rFonts w:ascii="Times New Roman" w:hAnsi="Times New Roman"/>
              </w:rPr>
              <w:t xml:space="preserve">Bölümü 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67E" w:rsidRPr="003179D1" w:rsidRDefault="00F3267E" w:rsidP="00790EB6">
            <w:pPr>
              <w:rPr>
                <w:b/>
              </w:rPr>
            </w:pPr>
            <w:r w:rsidRPr="003179D1">
              <w:rPr>
                <w:b/>
              </w:rPr>
              <w:t>:</w:t>
            </w:r>
          </w:p>
        </w:tc>
        <w:tc>
          <w:tcPr>
            <w:tcW w:w="5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67E" w:rsidRPr="003179D1" w:rsidRDefault="00F3267E" w:rsidP="00790EB6"/>
        </w:tc>
        <w:tc>
          <w:tcPr>
            <w:tcW w:w="226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3267E" w:rsidRPr="003179D1" w:rsidRDefault="00F3267E" w:rsidP="00790EB6">
            <w:pPr>
              <w:rPr>
                <w:szCs w:val="16"/>
              </w:rPr>
            </w:pPr>
          </w:p>
        </w:tc>
      </w:tr>
      <w:tr w:rsidR="00F3267E" w:rsidRPr="003179D1" w:rsidTr="00F3267E">
        <w:trPr>
          <w:cantSplit/>
          <w:trHeight w:val="415"/>
        </w:trPr>
        <w:tc>
          <w:tcPr>
            <w:tcW w:w="1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67E" w:rsidRPr="00C85E55" w:rsidRDefault="00F3267E" w:rsidP="00790EB6">
            <w:pPr>
              <w:pStyle w:val="Balk2"/>
              <w:jc w:val="left"/>
              <w:rPr>
                <w:rFonts w:ascii="Times New Roman" w:hAnsi="Times New Roman"/>
              </w:rPr>
            </w:pPr>
            <w:r w:rsidRPr="00C85E55">
              <w:rPr>
                <w:rFonts w:ascii="Times New Roman" w:hAnsi="Times New Roman"/>
              </w:rPr>
              <w:t>Telefon No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67E" w:rsidRPr="003179D1" w:rsidRDefault="00F3267E" w:rsidP="00790EB6">
            <w:pPr>
              <w:rPr>
                <w:b/>
              </w:rPr>
            </w:pPr>
            <w:r w:rsidRPr="003179D1">
              <w:rPr>
                <w:b/>
              </w:rPr>
              <w:t>:</w:t>
            </w:r>
          </w:p>
        </w:tc>
        <w:tc>
          <w:tcPr>
            <w:tcW w:w="5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67E" w:rsidRPr="003179D1" w:rsidRDefault="00F3267E" w:rsidP="00790EB6"/>
        </w:tc>
        <w:tc>
          <w:tcPr>
            <w:tcW w:w="226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3267E" w:rsidRPr="003179D1" w:rsidRDefault="00F3267E" w:rsidP="00790EB6">
            <w:pPr>
              <w:rPr>
                <w:szCs w:val="16"/>
              </w:rPr>
            </w:pPr>
          </w:p>
        </w:tc>
      </w:tr>
      <w:tr w:rsidR="00F3267E" w:rsidRPr="003179D1" w:rsidTr="00F3267E">
        <w:trPr>
          <w:cantSplit/>
          <w:trHeight w:val="436"/>
        </w:trPr>
        <w:tc>
          <w:tcPr>
            <w:tcW w:w="1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67E" w:rsidRPr="00C85E55" w:rsidRDefault="0058416A" w:rsidP="00790EB6">
            <w:pPr>
              <w:pStyle w:val="Balk2"/>
              <w:jc w:val="left"/>
              <w:rPr>
                <w:rFonts w:ascii="Times New Roman" w:hAnsi="Times New Roman"/>
              </w:rPr>
            </w:pPr>
            <w:r w:rsidRPr="00C85E55">
              <w:rPr>
                <w:rFonts w:ascii="Times New Roman" w:hAnsi="Times New Roman"/>
              </w:rPr>
              <w:t>E-Mail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67E" w:rsidRPr="003179D1" w:rsidRDefault="0058416A" w:rsidP="00790EB6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5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67E" w:rsidRPr="003179D1" w:rsidRDefault="00F3267E" w:rsidP="00790EB6"/>
        </w:tc>
        <w:tc>
          <w:tcPr>
            <w:tcW w:w="226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3267E" w:rsidRPr="003179D1" w:rsidRDefault="00F3267E" w:rsidP="00790EB6">
            <w:pPr>
              <w:rPr>
                <w:szCs w:val="16"/>
              </w:rPr>
            </w:pPr>
          </w:p>
        </w:tc>
      </w:tr>
      <w:tr w:rsidR="0058416A" w:rsidRPr="003179D1" w:rsidTr="00F3267E">
        <w:trPr>
          <w:cantSplit/>
          <w:trHeight w:val="436"/>
        </w:trPr>
        <w:tc>
          <w:tcPr>
            <w:tcW w:w="1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416A" w:rsidRPr="00C85E55" w:rsidRDefault="0058416A" w:rsidP="0058416A">
            <w:pPr>
              <w:pStyle w:val="Balk2"/>
              <w:jc w:val="left"/>
              <w:rPr>
                <w:rFonts w:ascii="Times New Roman" w:hAnsi="Times New Roman"/>
              </w:rPr>
            </w:pPr>
            <w:r w:rsidRPr="00C85E55">
              <w:rPr>
                <w:rFonts w:ascii="Times New Roman" w:hAnsi="Times New Roman"/>
              </w:rPr>
              <w:t>Adresi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416A" w:rsidRPr="003179D1" w:rsidRDefault="0058416A" w:rsidP="0058416A">
            <w:pPr>
              <w:rPr>
                <w:b/>
              </w:rPr>
            </w:pPr>
            <w:r w:rsidRPr="003179D1">
              <w:rPr>
                <w:b/>
              </w:rPr>
              <w:t>:</w:t>
            </w:r>
          </w:p>
        </w:tc>
        <w:tc>
          <w:tcPr>
            <w:tcW w:w="5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416A" w:rsidRPr="003179D1" w:rsidRDefault="0058416A" w:rsidP="0058416A"/>
        </w:tc>
        <w:tc>
          <w:tcPr>
            <w:tcW w:w="226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416A" w:rsidRPr="003179D1" w:rsidRDefault="0058416A" w:rsidP="0058416A">
            <w:pPr>
              <w:rPr>
                <w:szCs w:val="16"/>
              </w:rPr>
            </w:pPr>
          </w:p>
        </w:tc>
      </w:tr>
      <w:tr w:rsidR="0058416A" w:rsidRPr="003179D1" w:rsidTr="00C11F92">
        <w:trPr>
          <w:cantSplit/>
          <w:trHeight w:val="292"/>
        </w:trPr>
        <w:tc>
          <w:tcPr>
            <w:tcW w:w="74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416A" w:rsidRPr="003179D1" w:rsidRDefault="0058416A" w:rsidP="0058416A"/>
        </w:tc>
        <w:tc>
          <w:tcPr>
            <w:tcW w:w="226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416A" w:rsidRPr="003179D1" w:rsidRDefault="0058416A" w:rsidP="0058416A">
            <w:pPr>
              <w:rPr>
                <w:szCs w:val="16"/>
              </w:rPr>
            </w:pPr>
          </w:p>
        </w:tc>
      </w:tr>
      <w:tr w:rsidR="0058416A" w:rsidRPr="003179D1" w:rsidTr="00C11F92">
        <w:trPr>
          <w:cantSplit/>
          <w:trHeight w:val="410"/>
        </w:trPr>
        <w:tc>
          <w:tcPr>
            <w:tcW w:w="74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416A" w:rsidRPr="003179D1" w:rsidRDefault="0058416A" w:rsidP="0058416A"/>
        </w:tc>
        <w:tc>
          <w:tcPr>
            <w:tcW w:w="226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416A" w:rsidRPr="003179D1" w:rsidRDefault="0058416A" w:rsidP="0058416A">
            <w:pPr>
              <w:rPr>
                <w:szCs w:val="16"/>
              </w:rPr>
            </w:pPr>
          </w:p>
        </w:tc>
      </w:tr>
    </w:tbl>
    <w:p w:rsidR="00E37FAF" w:rsidRPr="003179D1" w:rsidRDefault="00E37FAF" w:rsidP="008C7C34">
      <w:pPr>
        <w:jc w:val="both"/>
        <w:rPr>
          <w:b/>
          <w:sz w:val="24"/>
        </w:rPr>
      </w:pPr>
    </w:p>
    <w:p w:rsidR="008C7C34" w:rsidRPr="00C469F9" w:rsidRDefault="00C469F9" w:rsidP="008C7C34">
      <w:pPr>
        <w:jc w:val="both"/>
        <w:rPr>
          <w:b/>
          <w:sz w:val="24"/>
          <w:u w:val="single"/>
        </w:rPr>
      </w:pPr>
      <w:r w:rsidRPr="00C469F9">
        <w:rPr>
          <w:b/>
          <w:sz w:val="24"/>
          <w:u w:val="single"/>
        </w:rPr>
        <w:t>Muafiyet Talep Edilen Dersin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899"/>
        <w:gridCol w:w="1479"/>
        <w:gridCol w:w="1276"/>
        <w:gridCol w:w="992"/>
      </w:tblGrid>
      <w:tr w:rsidR="00C469F9" w:rsidRPr="003179D1" w:rsidTr="00C469F9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C469F9" w:rsidRPr="003179D1" w:rsidRDefault="00C469F9" w:rsidP="00C469F9">
            <w:pPr>
              <w:jc w:val="center"/>
              <w:rPr>
                <w:b/>
                <w:sz w:val="24"/>
              </w:rPr>
            </w:pPr>
            <w:r w:rsidRPr="00C469F9">
              <w:rPr>
                <w:b/>
                <w:sz w:val="24"/>
              </w:rPr>
              <w:t>KODU</w:t>
            </w:r>
          </w:p>
        </w:tc>
        <w:tc>
          <w:tcPr>
            <w:tcW w:w="4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9F9" w:rsidRPr="003179D1" w:rsidRDefault="00C469F9" w:rsidP="00E37FAF">
            <w:pPr>
              <w:jc w:val="center"/>
              <w:rPr>
                <w:b/>
                <w:sz w:val="24"/>
              </w:rPr>
            </w:pPr>
            <w:r w:rsidRPr="00C469F9">
              <w:rPr>
                <w:b/>
                <w:sz w:val="24"/>
              </w:rPr>
              <w:t>ADI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vAlign w:val="center"/>
          </w:tcPr>
          <w:p w:rsidR="00C469F9" w:rsidRPr="003179D1" w:rsidRDefault="00C469F9" w:rsidP="00E37FAF">
            <w:pPr>
              <w:jc w:val="center"/>
              <w:rPr>
                <w:b/>
                <w:sz w:val="24"/>
              </w:rPr>
            </w:pPr>
            <w:r w:rsidRPr="00C469F9">
              <w:rPr>
                <w:b/>
                <w:sz w:val="24"/>
              </w:rPr>
              <w:t>YY</w:t>
            </w:r>
          </w:p>
        </w:tc>
        <w:tc>
          <w:tcPr>
            <w:tcW w:w="1276" w:type="dxa"/>
            <w:vAlign w:val="center"/>
          </w:tcPr>
          <w:p w:rsidR="00C469F9" w:rsidRPr="003179D1" w:rsidRDefault="00C469F9" w:rsidP="00E127E1">
            <w:pPr>
              <w:jc w:val="center"/>
              <w:rPr>
                <w:b/>
                <w:sz w:val="24"/>
              </w:rPr>
            </w:pPr>
            <w:r w:rsidRPr="00C469F9">
              <w:rPr>
                <w:b/>
                <w:sz w:val="24"/>
              </w:rPr>
              <w:t>T+U</w:t>
            </w:r>
          </w:p>
        </w:tc>
        <w:tc>
          <w:tcPr>
            <w:tcW w:w="992" w:type="dxa"/>
            <w:vAlign w:val="center"/>
          </w:tcPr>
          <w:p w:rsidR="00C469F9" w:rsidRPr="003179D1" w:rsidRDefault="00C469F9" w:rsidP="00E37FAF">
            <w:pPr>
              <w:jc w:val="center"/>
              <w:rPr>
                <w:b/>
                <w:sz w:val="24"/>
              </w:rPr>
            </w:pPr>
            <w:r w:rsidRPr="00C469F9">
              <w:rPr>
                <w:b/>
                <w:sz w:val="24"/>
              </w:rPr>
              <w:t>AKTS</w:t>
            </w:r>
          </w:p>
        </w:tc>
      </w:tr>
      <w:tr w:rsidR="00C469F9" w:rsidRPr="003179D1" w:rsidTr="00C469F9">
        <w:tc>
          <w:tcPr>
            <w:tcW w:w="1101" w:type="dxa"/>
            <w:tcBorders>
              <w:right w:val="single" w:sz="4" w:space="0" w:color="auto"/>
            </w:tcBorders>
          </w:tcPr>
          <w:p w:rsidR="00C469F9" w:rsidRPr="003179D1" w:rsidRDefault="00C469F9" w:rsidP="009F309C">
            <w:pPr>
              <w:jc w:val="center"/>
              <w:rPr>
                <w:b/>
                <w:sz w:val="24"/>
              </w:rPr>
            </w:pPr>
          </w:p>
        </w:tc>
        <w:tc>
          <w:tcPr>
            <w:tcW w:w="4899" w:type="dxa"/>
            <w:tcBorders>
              <w:left w:val="single" w:sz="4" w:space="0" w:color="auto"/>
              <w:right w:val="single" w:sz="4" w:space="0" w:color="auto"/>
            </w:tcBorders>
          </w:tcPr>
          <w:p w:rsidR="00C469F9" w:rsidRPr="003179D1" w:rsidRDefault="00C469F9" w:rsidP="00E37FAF">
            <w:pPr>
              <w:jc w:val="both"/>
              <w:rPr>
                <w:b/>
                <w:sz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C469F9" w:rsidRPr="003179D1" w:rsidRDefault="00C469F9" w:rsidP="00E37FAF">
            <w:pPr>
              <w:jc w:val="both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C469F9" w:rsidRPr="003179D1" w:rsidRDefault="00C469F9" w:rsidP="00E37FAF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C469F9" w:rsidRPr="003179D1" w:rsidRDefault="00C469F9" w:rsidP="00E37FAF">
            <w:pPr>
              <w:jc w:val="both"/>
              <w:rPr>
                <w:b/>
                <w:sz w:val="24"/>
              </w:rPr>
            </w:pPr>
          </w:p>
        </w:tc>
      </w:tr>
      <w:tr w:rsidR="00C469F9" w:rsidRPr="003179D1" w:rsidTr="00C469F9">
        <w:tc>
          <w:tcPr>
            <w:tcW w:w="1101" w:type="dxa"/>
            <w:tcBorders>
              <w:right w:val="single" w:sz="4" w:space="0" w:color="auto"/>
            </w:tcBorders>
          </w:tcPr>
          <w:p w:rsidR="00C469F9" w:rsidRPr="003179D1" w:rsidRDefault="00C469F9" w:rsidP="009F309C">
            <w:pPr>
              <w:jc w:val="center"/>
              <w:rPr>
                <w:b/>
                <w:sz w:val="24"/>
              </w:rPr>
            </w:pPr>
          </w:p>
        </w:tc>
        <w:tc>
          <w:tcPr>
            <w:tcW w:w="4899" w:type="dxa"/>
            <w:tcBorders>
              <w:left w:val="single" w:sz="4" w:space="0" w:color="auto"/>
              <w:right w:val="single" w:sz="4" w:space="0" w:color="auto"/>
            </w:tcBorders>
          </w:tcPr>
          <w:p w:rsidR="00C469F9" w:rsidRPr="003179D1" w:rsidRDefault="00C469F9" w:rsidP="00E37FAF">
            <w:pPr>
              <w:jc w:val="both"/>
              <w:rPr>
                <w:b/>
                <w:sz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C469F9" w:rsidRPr="003179D1" w:rsidRDefault="00C469F9" w:rsidP="00E37FAF">
            <w:pPr>
              <w:jc w:val="both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C469F9" w:rsidRPr="003179D1" w:rsidRDefault="00C469F9" w:rsidP="00E37FAF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C469F9" w:rsidRPr="003179D1" w:rsidRDefault="00C469F9" w:rsidP="00E37FAF">
            <w:pPr>
              <w:jc w:val="both"/>
              <w:rPr>
                <w:b/>
                <w:sz w:val="24"/>
              </w:rPr>
            </w:pPr>
          </w:p>
        </w:tc>
      </w:tr>
      <w:tr w:rsidR="00C469F9" w:rsidRPr="003179D1" w:rsidTr="00C469F9">
        <w:tc>
          <w:tcPr>
            <w:tcW w:w="1101" w:type="dxa"/>
            <w:tcBorders>
              <w:right w:val="single" w:sz="4" w:space="0" w:color="auto"/>
            </w:tcBorders>
          </w:tcPr>
          <w:p w:rsidR="00C469F9" w:rsidRPr="003179D1" w:rsidRDefault="00C469F9" w:rsidP="009F309C">
            <w:pPr>
              <w:jc w:val="center"/>
              <w:rPr>
                <w:b/>
                <w:sz w:val="24"/>
              </w:rPr>
            </w:pPr>
          </w:p>
        </w:tc>
        <w:tc>
          <w:tcPr>
            <w:tcW w:w="4899" w:type="dxa"/>
            <w:tcBorders>
              <w:left w:val="single" w:sz="4" w:space="0" w:color="auto"/>
              <w:right w:val="single" w:sz="4" w:space="0" w:color="auto"/>
            </w:tcBorders>
          </w:tcPr>
          <w:p w:rsidR="00C469F9" w:rsidRPr="003179D1" w:rsidRDefault="00C469F9" w:rsidP="00E37FAF">
            <w:pPr>
              <w:jc w:val="both"/>
              <w:rPr>
                <w:b/>
                <w:sz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C469F9" w:rsidRPr="003179D1" w:rsidRDefault="00C469F9" w:rsidP="00E37FAF">
            <w:pPr>
              <w:jc w:val="both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C469F9" w:rsidRPr="003179D1" w:rsidRDefault="00C469F9" w:rsidP="00E37FAF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C469F9" w:rsidRPr="003179D1" w:rsidRDefault="00C469F9" w:rsidP="00E37FAF">
            <w:pPr>
              <w:jc w:val="both"/>
              <w:rPr>
                <w:b/>
                <w:sz w:val="24"/>
              </w:rPr>
            </w:pPr>
          </w:p>
        </w:tc>
      </w:tr>
      <w:tr w:rsidR="00C469F9" w:rsidRPr="003179D1" w:rsidTr="00C469F9">
        <w:tc>
          <w:tcPr>
            <w:tcW w:w="1101" w:type="dxa"/>
            <w:tcBorders>
              <w:right w:val="single" w:sz="4" w:space="0" w:color="auto"/>
            </w:tcBorders>
          </w:tcPr>
          <w:p w:rsidR="00C469F9" w:rsidRPr="003179D1" w:rsidRDefault="00C469F9" w:rsidP="009F309C">
            <w:pPr>
              <w:jc w:val="center"/>
              <w:rPr>
                <w:b/>
                <w:sz w:val="24"/>
              </w:rPr>
            </w:pPr>
          </w:p>
        </w:tc>
        <w:tc>
          <w:tcPr>
            <w:tcW w:w="4899" w:type="dxa"/>
            <w:tcBorders>
              <w:left w:val="single" w:sz="4" w:space="0" w:color="auto"/>
              <w:right w:val="single" w:sz="4" w:space="0" w:color="auto"/>
            </w:tcBorders>
          </w:tcPr>
          <w:p w:rsidR="00C469F9" w:rsidRPr="003179D1" w:rsidRDefault="00C469F9" w:rsidP="00E37FAF">
            <w:pPr>
              <w:jc w:val="both"/>
              <w:rPr>
                <w:b/>
                <w:sz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C469F9" w:rsidRPr="003179D1" w:rsidRDefault="00C469F9" w:rsidP="00E37FAF">
            <w:pPr>
              <w:jc w:val="both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C469F9" w:rsidRPr="003179D1" w:rsidRDefault="00C469F9" w:rsidP="00E37FA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</w:p>
        </w:tc>
        <w:tc>
          <w:tcPr>
            <w:tcW w:w="992" w:type="dxa"/>
          </w:tcPr>
          <w:p w:rsidR="00C469F9" w:rsidRPr="003179D1" w:rsidRDefault="00C469F9" w:rsidP="00E37FAF">
            <w:pPr>
              <w:jc w:val="both"/>
              <w:rPr>
                <w:b/>
                <w:sz w:val="24"/>
              </w:rPr>
            </w:pPr>
          </w:p>
        </w:tc>
      </w:tr>
    </w:tbl>
    <w:p w:rsidR="008C7C34" w:rsidRPr="003179D1" w:rsidRDefault="008C7C34" w:rsidP="008C7C34">
      <w:pPr>
        <w:jc w:val="both"/>
        <w:rPr>
          <w:b/>
          <w:sz w:val="24"/>
        </w:rPr>
      </w:pPr>
    </w:p>
    <w:p w:rsidR="00C469F9" w:rsidRPr="007176FD" w:rsidRDefault="00C11F92" w:rsidP="00C469F9">
      <w:pPr>
        <w:autoSpaceDE w:val="0"/>
        <w:autoSpaceDN w:val="0"/>
        <w:adjustRightInd w:val="0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Muafiyet</w:t>
      </w:r>
      <w:r w:rsidR="00C469F9" w:rsidRPr="007176FD">
        <w:rPr>
          <w:rFonts w:ascii="Arial" w:hAnsi="Arial"/>
          <w:b/>
          <w:bCs/>
          <w:sz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850"/>
      </w:tblGrid>
      <w:tr w:rsidR="00C469F9" w:rsidRPr="00873632" w:rsidTr="00ED3A88">
        <w:trPr>
          <w:trHeight w:val="543"/>
        </w:trPr>
        <w:tc>
          <w:tcPr>
            <w:tcW w:w="8897" w:type="dxa"/>
          </w:tcPr>
          <w:p w:rsidR="00C469F9" w:rsidRPr="00ED3A88" w:rsidRDefault="00ED3A88" w:rsidP="00ED3A88">
            <w:pPr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a-</w:t>
            </w:r>
            <w:r w:rsidR="00C469F9" w:rsidRPr="00ED3A88">
              <w:rPr>
                <w:b/>
                <w:i/>
                <w:sz w:val="18"/>
                <w:szCs w:val="18"/>
                <w:u w:val="single"/>
              </w:rPr>
              <w:t>Özel ilgi ile kazanılmış bilgi, beceri ve yetkinliklerinin muafiyet sınavları yolu ile tanınması,</w:t>
            </w:r>
          </w:p>
          <w:p w:rsidR="00C469F9" w:rsidRPr="00873632" w:rsidRDefault="00ED3A88" w:rsidP="00ED3A88">
            <w:pPr>
              <w:rPr>
                <w:b/>
                <w:i/>
                <w:sz w:val="18"/>
                <w:szCs w:val="18"/>
              </w:rPr>
            </w:pPr>
            <w:r w:rsidRPr="00ED3A88">
              <w:rPr>
                <w:b/>
                <w:sz w:val="18"/>
                <w:szCs w:val="18"/>
              </w:rPr>
              <w:t>MADDE 5 - (1) Öğrenci sertifikalandırılamamış veya belgelendirilememiş, kendi özel gayreti ile edindiği kazanımlar için, öğretim yılı başlamadan önce açılacak muafiyet sınavlarına başvurabilir</w:t>
            </w:r>
            <w:r w:rsidRPr="00ED3A88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C469F9" w:rsidRPr="00873632" w:rsidRDefault="00F720F5" w:rsidP="00AB22A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pict>
                <v:rect id="_x0000_s1028" style="position:absolute;left:0;text-align:left;margin-left:9.9pt;margin-top:3.8pt;width:14.25pt;height:18pt;z-index:3;mso-position-horizontal-relative:text;mso-position-vertical-relative:text"/>
              </w:pict>
            </w:r>
          </w:p>
        </w:tc>
      </w:tr>
      <w:tr w:rsidR="00C469F9" w:rsidRPr="00873632" w:rsidTr="00ED3A88">
        <w:trPr>
          <w:trHeight w:val="693"/>
        </w:trPr>
        <w:tc>
          <w:tcPr>
            <w:tcW w:w="8897" w:type="dxa"/>
          </w:tcPr>
          <w:p w:rsidR="00C469F9" w:rsidRPr="00ED3A88" w:rsidRDefault="00C469F9" w:rsidP="00AB22A2">
            <w:pPr>
              <w:rPr>
                <w:b/>
                <w:i/>
                <w:sz w:val="18"/>
                <w:szCs w:val="18"/>
                <w:u w:val="single"/>
              </w:rPr>
            </w:pPr>
            <w:r w:rsidRPr="00ED3A88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="00ED3A88">
              <w:rPr>
                <w:b/>
                <w:i/>
                <w:sz w:val="18"/>
                <w:szCs w:val="18"/>
                <w:u w:val="single"/>
              </w:rPr>
              <w:t>b-</w:t>
            </w:r>
            <w:r w:rsidRPr="00ED3A88">
              <w:rPr>
                <w:b/>
                <w:i/>
                <w:sz w:val="18"/>
                <w:szCs w:val="18"/>
                <w:u w:val="single"/>
              </w:rPr>
              <w:t>İşyeri deneyimlerinin portfolyo hazırlama ve muafiyet sınavları suretiyle tanınması</w:t>
            </w:r>
          </w:p>
          <w:p w:rsidR="00ED3A88" w:rsidRPr="00ED3A88" w:rsidRDefault="00ED3A88" w:rsidP="00ED3A88">
            <w:pPr>
              <w:rPr>
                <w:b/>
                <w:sz w:val="18"/>
                <w:szCs w:val="18"/>
              </w:rPr>
            </w:pPr>
            <w:r w:rsidRPr="00ED3A88">
              <w:rPr>
                <w:b/>
                <w:sz w:val="18"/>
                <w:szCs w:val="18"/>
              </w:rPr>
              <w:t>MADDE 6 - (1) Kurumsal yapıdaki iş yerlerinde elde edilen pratik kazanımlar ile iş yerlerinde hizmet içi eğitimler suretiyle elde edilmiş kazanımlar, belgelenmesi halinde tanınma başvuru için kullanılabilir.</w:t>
            </w:r>
          </w:p>
        </w:tc>
        <w:tc>
          <w:tcPr>
            <w:tcW w:w="850" w:type="dxa"/>
            <w:vAlign w:val="center"/>
          </w:tcPr>
          <w:p w:rsidR="00C469F9" w:rsidRPr="00873632" w:rsidRDefault="00F720F5" w:rsidP="00AB22A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pict>
                <v:rect id="_x0000_s1027" style="position:absolute;left:0;text-align:left;margin-left:10.05pt;margin-top:10.55pt;width:14.25pt;height:18pt;z-index:2;mso-position-horizontal-relative:text;mso-position-vertical-relative:text"/>
              </w:pict>
            </w:r>
          </w:p>
        </w:tc>
      </w:tr>
      <w:tr w:rsidR="00C469F9" w:rsidRPr="00873632" w:rsidTr="00C11F92">
        <w:trPr>
          <w:trHeight w:val="902"/>
        </w:trPr>
        <w:tc>
          <w:tcPr>
            <w:tcW w:w="8897" w:type="dxa"/>
          </w:tcPr>
          <w:p w:rsidR="00ED3A88" w:rsidRPr="00ED3A88" w:rsidRDefault="00ED3A88" w:rsidP="00ED3A88">
            <w:pPr>
              <w:rPr>
                <w:b/>
                <w:i/>
                <w:sz w:val="18"/>
                <w:szCs w:val="18"/>
                <w:u w:val="single"/>
              </w:rPr>
            </w:pPr>
            <w:r w:rsidRPr="00ED3A88">
              <w:rPr>
                <w:b/>
                <w:i/>
                <w:sz w:val="18"/>
                <w:szCs w:val="18"/>
                <w:u w:val="single"/>
              </w:rPr>
              <w:t>c) Akredite olmuş kuruluşlardan aldıkları sertifikaların tanınması ve intibaklarına ilişkin esasları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Pr="00ED3A88">
              <w:rPr>
                <w:b/>
                <w:i/>
                <w:sz w:val="18"/>
                <w:szCs w:val="18"/>
                <w:u w:val="single"/>
              </w:rPr>
              <w:t>kapsar.</w:t>
            </w:r>
            <w:r w:rsidRPr="00ED3A88">
              <w:rPr>
                <w:b/>
                <w:i/>
                <w:sz w:val="18"/>
                <w:szCs w:val="18"/>
                <w:u w:val="single"/>
              </w:rPr>
              <w:cr/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Pr="00ED3A88">
              <w:rPr>
                <w:b/>
                <w:sz w:val="18"/>
                <w:szCs w:val="18"/>
              </w:rPr>
              <w:t xml:space="preserve">MADDE 7 - (1) Program kazanımları ile örtüşmek kaydı ile </w:t>
            </w:r>
            <w:r>
              <w:rPr>
                <w:b/>
                <w:sz w:val="18"/>
                <w:szCs w:val="18"/>
              </w:rPr>
              <w:t xml:space="preserve">hangi sertifikalara ilişkin kazanımların </w:t>
            </w:r>
            <w:r w:rsidRPr="00ED3A88">
              <w:rPr>
                <w:b/>
                <w:sz w:val="18"/>
                <w:szCs w:val="18"/>
              </w:rPr>
              <w:t>değerlendirileceği Senato tarafından belirlenir.</w:t>
            </w:r>
          </w:p>
        </w:tc>
        <w:tc>
          <w:tcPr>
            <w:tcW w:w="850" w:type="dxa"/>
            <w:vAlign w:val="center"/>
          </w:tcPr>
          <w:p w:rsidR="00C469F9" w:rsidRPr="00873632" w:rsidRDefault="00F720F5" w:rsidP="00AB22A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pict>
                <v:rect id="_x0000_s1029" style="position:absolute;left:0;text-align:left;margin-left:10.45pt;margin-top:12.7pt;width:14.25pt;height:18pt;z-index:4;mso-position-horizontal-relative:text;mso-position-vertical-relative:text"/>
              </w:pict>
            </w:r>
          </w:p>
        </w:tc>
      </w:tr>
    </w:tbl>
    <w:p w:rsidR="00C469F9" w:rsidRDefault="00C469F9" w:rsidP="008C7C34">
      <w:pPr>
        <w:jc w:val="both"/>
        <w:rPr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833"/>
        <w:gridCol w:w="4026"/>
      </w:tblGrid>
      <w:tr w:rsidR="008C7C34" w:rsidRPr="003179D1" w:rsidTr="007D45AE">
        <w:trPr>
          <w:cantSplit/>
          <w:trHeight w:val="390"/>
        </w:trPr>
        <w:tc>
          <w:tcPr>
            <w:tcW w:w="1331" w:type="dxa"/>
            <w:gridSpan w:val="2"/>
          </w:tcPr>
          <w:p w:rsidR="008C7C34" w:rsidRPr="003179D1" w:rsidRDefault="00A70FFF" w:rsidP="008C7C34">
            <w:pPr>
              <w:jc w:val="both"/>
              <w:rPr>
                <w:b/>
                <w:sz w:val="24"/>
              </w:rPr>
            </w:pPr>
            <w:r w:rsidRPr="003179D1">
              <w:rPr>
                <w:b/>
                <w:sz w:val="24"/>
                <w:u w:val="single"/>
              </w:rPr>
              <w:t>EKLER:</w:t>
            </w:r>
          </w:p>
        </w:tc>
        <w:tc>
          <w:tcPr>
            <w:tcW w:w="4026" w:type="dxa"/>
          </w:tcPr>
          <w:p w:rsidR="008C7C34" w:rsidRPr="003179D1" w:rsidRDefault="008C7C34" w:rsidP="008C7C34">
            <w:pPr>
              <w:jc w:val="both"/>
              <w:rPr>
                <w:b/>
                <w:sz w:val="24"/>
              </w:rPr>
            </w:pPr>
          </w:p>
        </w:tc>
      </w:tr>
      <w:tr w:rsidR="008C7C34" w:rsidRPr="003179D1" w:rsidTr="007D45AE">
        <w:trPr>
          <w:cantSplit/>
          <w:trHeight w:val="359"/>
        </w:trPr>
        <w:tc>
          <w:tcPr>
            <w:tcW w:w="498" w:type="dxa"/>
          </w:tcPr>
          <w:p w:rsidR="008C7C34" w:rsidRPr="003179D1" w:rsidRDefault="008C7C34" w:rsidP="008C7C34">
            <w:pPr>
              <w:jc w:val="both"/>
              <w:rPr>
                <w:sz w:val="24"/>
              </w:rPr>
            </w:pPr>
            <w:r w:rsidRPr="003179D1">
              <w:rPr>
                <w:sz w:val="24"/>
              </w:rPr>
              <w:sym w:font="Wingdings 2" w:char="F035"/>
            </w:r>
          </w:p>
        </w:tc>
        <w:tc>
          <w:tcPr>
            <w:tcW w:w="833" w:type="dxa"/>
          </w:tcPr>
          <w:p w:rsidR="008C7C34" w:rsidRPr="00C85E55" w:rsidRDefault="008C7C34" w:rsidP="008C7C34">
            <w:pPr>
              <w:pStyle w:val="Balk2"/>
              <w:rPr>
                <w:rFonts w:ascii="Times New Roman" w:hAnsi="Times New Roman"/>
              </w:rPr>
            </w:pPr>
            <w:r w:rsidRPr="00C85E55">
              <w:rPr>
                <w:rFonts w:ascii="Times New Roman" w:hAnsi="Times New Roman"/>
              </w:rPr>
              <w:t>EK-1</w:t>
            </w:r>
          </w:p>
        </w:tc>
        <w:tc>
          <w:tcPr>
            <w:tcW w:w="4026" w:type="dxa"/>
          </w:tcPr>
          <w:p w:rsidR="008C7C34" w:rsidRPr="003179D1" w:rsidRDefault="00ED3A88" w:rsidP="008C7C34">
            <w:pPr>
              <w:pStyle w:val="Balk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İşyeri dene</w:t>
            </w:r>
            <w:r w:rsidR="00C11F92">
              <w:rPr>
                <w:rFonts w:ascii="Times New Roman" w:hAnsi="Times New Roman" w:cs="Times New Roman"/>
              </w:rPr>
              <w:t xml:space="preserve">yim belgeleri </w:t>
            </w:r>
          </w:p>
        </w:tc>
      </w:tr>
      <w:tr w:rsidR="008C7C34" w:rsidRPr="003179D1" w:rsidTr="007D45AE">
        <w:trPr>
          <w:cantSplit/>
          <w:trHeight w:val="359"/>
        </w:trPr>
        <w:tc>
          <w:tcPr>
            <w:tcW w:w="498" w:type="dxa"/>
          </w:tcPr>
          <w:p w:rsidR="008C7C34" w:rsidRPr="003179D1" w:rsidRDefault="008C7C34" w:rsidP="008C7C34">
            <w:pPr>
              <w:jc w:val="both"/>
              <w:rPr>
                <w:sz w:val="24"/>
              </w:rPr>
            </w:pPr>
            <w:r w:rsidRPr="003179D1">
              <w:rPr>
                <w:sz w:val="24"/>
              </w:rPr>
              <w:sym w:font="Wingdings 2" w:char="F035"/>
            </w:r>
          </w:p>
        </w:tc>
        <w:tc>
          <w:tcPr>
            <w:tcW w:w="833" w:type="dxa"/>
          </w:tcPr>
          <w:p w:rsidR="008C7C34" w:rsidRPr="00C85E55" w:rsidRDefault="008C7C34" w:rsidP="008C7C34">
            <w:pPr>
              <w:pStyle w:val="Balk2"/>
              <w:rPr>
                <w:rFonts w:ascii="Times New Roman" w:hAnsi="Times New Roman"/>
              </w:rPr>
            </w:pPr>
            <w:r w:rsidRPr="00C85E55">
              <w:rPr>
                <w:rFonts w:ascii="Times New Roman" w:hAnsi="Times New Roman"/>
              </w:rPr>
              <w:t>EK-2</w:t>
            </w:r>
          </w:p>
        </w:tc>
        <w:tc>
          <w:tcPr>
            <w:tcW w:w="4026" w:type="dxa"/>
          </w:tcPr>
          <w:p w:rsidR="008C7C34" w:rsidRPr="003179D1" w:rsidRDefault="00ED3A88" w:rsidP="008C7C34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Sertifika</w:t>
            </w:r>
          </w:p>
        </w:tc>
      </w:tr>
    </w:tbl>
    <w:p w:rsidR="00C11F92" w:rsidRPr="00C11F92" w:rsidRDefault="00C11F92" w:rsidP="00C11F92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NOT: </w:t>
      </w:r>
      <w:r w:rsidRPr="00C11F92">
        <w:rPr>
          <w:b/>
          <w:sz w:val="16"/>
          <w:szCs w:val="16"/>
        </w:rPr>
        <w:t>201</w:t>
      </w:r>
      <w:r w:rsidR="007C26B4">
        <w:rPr>
          <w:b/>
          <w:sz w:val="16"/>
          <w:szCs w:val="16"/>
        </w:rPr>
        <w:t>4</w:t>
      </w:r>
      <w:r w:rsidRPr="00C11F92">
        <w:rPr>
          <w:b/>
          <w:sz w:val="16"/>
          <w:szCs w:val="16"/>
        </w:rPr>
        <w:t>-201</w:t>
      </w:r>
      <w:r w:rsidR="007C26B4">
        <w:rPr>
          <w:b/>
          <w:sz w:val="16"/>
          <w:szCs w:val="16"/>
        </w:rPr>
        <w:t>5</w:t>
      </w:r>
      <w:r w:rsidRPr="00C11F92">
        <w:rPr>
          <w:b/>
          <w:sz w:val="16"/>
          <w:szCs w:val="16"/>
        </w:rPr>
        <w:t xml:space="preserve"> ÖNCEKİ ÖĞRENMELERİN TANINMASINA İLİŞKİN MUAFİYET SINAVLARI SÜREÇ TAKVİMİ</w:t>
      </w:r>
    </w:p>
    <w:p w:rsidR="00C11F92" w:rsidRDefault="00C11F92" w:rsidP="00C11F92">
      <w:pPr>
        <w:jc w:val="both"/>
        <w:rPr>
          <w:b/>
          <w:sz w:val="16"/>
          <w:szCs w:val="16"/>
        </w:rPr>
      </w:pPr>
      <w:r w:rsidRPr="00C11F92">
        <w:rPr>
          <w:b/>
          <w:sz w:val="16"/>
          <w:szCs w:val="16"/>
        </w:rPr>
        <w:t xml:space="preserve">Başvuru: </w:t>
      </w:r>
      <w:r w:rsidR="007C26B4">
        <w:rPr>
          <w:b/>
          <w:sz w:val="16"/>
          <w:szCs w:val="16"/>
        </w:rPr>
        <w:t>3</w:t>
      </w:r>
      <w:r w:rsidRPr="00C11F92">
        <w:rPr>
          <w:b/>
          <w:sz w:val="16"/>
          <w:szCs w:val="16"/>
        </w:rPr>
        <w:t>1</w:t>
      </w:r>
      <w:r w:rsidR="007C26B4">
        <w:rPr>
          <w:b/>
          <w:sz w:val="16"/>
          <w:szCs w:val="16"/>
        </w:rPr>
        <w:t>Ağustos</w:t>
      </w:r>
      <w:r w:rsidRPr="00C11F92">
        <w:rPr>
          <w:b/>
          <w:sz w:val="16"/>
          <w:szCs w:val="16"/>
        </w:rPr>
        <w:t xml:space="preserve"> - </w:t>
      </w:r>
      <w:r w:rsidR="007C26B4">
        <w:rPr>
          <w:b/>
          <w:sz w:val="16"/>
          <w:szCs w:val="16"/>
        </w:rPr>
        <w:t>7</w:t>
      </w:r>
      <w:r w:rsidRPr="00C11F92">
        <w:rPr>
          <w:b/>
          <w:sz w:val="16"/>
          <w:szCs w:val="16"/>
        </w:rPr>
        <w:t xml:space="preserve"> Eylül 201</w:t>
      </w:r>
      <w:r w:rsidR="007C26B4">
        <w:rPr>
          <w:b/>
          <w:sz w:val="16"/>
          <w:szCs w:val="16"/>
        </w:rPr>
        <w:t xml:space="preserve">5 </w:t>
      </w:r>
      <w:r w:rsidRPr="00C11F92">
        <w:rPr>
          <w:b/>
          <w:sz w:val="16"/>
          <w:szCs w:val="16"/>
        </w:rPr>
        <w:t xml:space="preserve"> (Bölüm başkanlıklarına yapılacaktır.)</w:t>
      </w:r>
    </w:p>
    <w:p w:rsidR="00C11F92" w:rsidRPr="00C11F92" w:rsidRDefault="00C11F92" w:rsidP="00C11F92">
      <w:pPr>
        <w:jc w:val="both"/>
        <w:rPr>
          <w:sz w:val="16"/>
          <w:szCs w:val="16"/>
        </w:rPr>
      </w:pPr>
      <w:r w:rsidRPr="00C11F92">
        <w:rPr>
          <w:sz w:val="16"/>
          <w:szCs w:val="16"/>
        </w:rPr>
        <w:t xml:space="preserve">MADDE 4- (1) Önceki öğrenmelerin tanınması için yapılacak tüm başvuru ve işlemler, akademik </w:t>
      </w:r>
      <w:r>
        <w:rPr>
          <w:sz w:val="16"/>
          <w:szCs w:val="16"/>
        </w:rPr>
        <w:t xml:space="preserve"> </w:t>
      </w:r>
      <w:r w:rsidRPr="00C11F92">
        <w:rPr>
          <w:sz w:val="16"/>
          <w:szCs w:val="16"/>
        </w:rPr>
        <w:t>takvimde ilan edile</w:t>
      </w:r>
      <w:r>
        <w:rPr>
          <w:sz w:val="16"/>
          <w:szCs w:val="16"/>
        </w:rPr>
        <w:t xml:space="preserve">n zaman aralığında ve </w:t>
      </w:r>
      <w:r w:rsidRPr="00C11F92">
        <w:rPr>
          <w:sz w:val="16"/>
          <w:szCs w:val="16"/>
        </w:rPr>
        <w:t>öğretim yılı başlamadan önce yılda bir kez yapılır.</w:t>
      </w:r>
    </w:p>
    <w:p w:rsidR="00C11F92" w:rsidRPr="00C11F92" w:rsidRDefault="00C11F92" w:rsidP="00C11F92">
      <w:pPr>
        <w:jc w:val="both"/>
        <w:rPr>
          <w:sz w:val="16"/>
          <w:szCs w:val="16"/>
        </w:rPr>
      </w:pPr>
      <w:r w:rsidRPr="00C11F92">
        <w:rPr>
          <w:sz w:val="16"/>
          <w:szCs w:val="16"/>
        </w:rPr>
        <w:t xml:space="preserve">(2) Üniversiteye yeni kayıt yaptıran bir öğrenci için başvuru süresi, kayıt olduğu akademik yılda </w:t>
      </w:r>
      <w:r>
        <w:rPr>
          <w:sz w:val="16"/>
          <w:szCs w:val="16"/>
        </w:rPr>
        <w:t xml:space="preserve"> </w:t>
      </w:r>
      <w:r w:rsidRPr="00C11F92">
        <w:rPr>
          <w:sz w:val="16"/>
          <w:szCs w:val="16"/>
        </w:rPr>
        <w:t>güz yarıyılında kesin kayıt gününü takip eden beş iş günü olup, geç başvuru ve postadaki gecikmeler kabul edilmez. Fotokopi, faks, onaysız belge ve eksik belge olması durumlarında</w:t>
      </w:r>
    </w:p>
    <w:p w:rsidR="00C11F92" w:rsidRPr="00C11F92" w:rsidRDefault="00C11F92" w:rsidP="00C11F92">
      <w:pPr>
        <w:jc w:val="both"/>
        <w:rPr>
          <w:sz w:val="16"/>
          <w:szCs w:val="16"/>
        </w:rPr>
      </w:pPr>
      <w:r w:rsidRPr="00C11F92">
        <w:rPr>
          <w:sz w:val="16"/>
          <w:szCs w:val="16"/>
        </w:rPr>
        <w:t>başvuru işleme alınmaz.</w:t>
      </w:r>
    </w:p>
    <w:p w:rsidR="00C11F92" w:rsidRPr="00C11F92" w:rsidRDefault="00C11F92" w:rsidP="00C11F92">
      <w:pPr>
        <w:jc w:val="both"/>
        <w:rPr>
          <w:sz w:val="16"/>
          <w:szCs w:val="16"/>
        </w:rPr>
      </w:pPr>
      <w:r w:rsidRPr="00C11F92">
        <w:rPr>
          <w:sz w:val="16"/>
          <w:szCs w:val="16"/>
        </w:rPr>
        <w:t>(3) Başvurular Fakülte ve Yüksekokullarda ilgili Bölüm Başkanlıklarına; Enstitülerde ise Müdürlüğe yapılır.</w:t>
      </w:r>
    </w:p>
    <w:p w:rsidR="00C11F92" w:rsidRPr="00C11F92" w:rsidRDefault="00C11F92" w:rsidP="00C11F92">
      <w:pPr>
        <w:jc w:val="both"/>
        <w:rPr>
          <w:sz w:val="16"/>
          <w:szCs w:val="16"/>
        </w:rPr>
      </w:pPr>
      <w:r w:rsidRPr="00C11F92">
        <w:rPr>
          <w:sz w:val="16"/>
          <w:szCs w:val="16"/>
        </w:rPr>
        <w:t>(4) Yapılan başvurular sonucunda, önceden kazanılmış yeterliliklerin tanınması kapsamında</w:t>
      </w:r>
      <w:r>
        <w:rPr>
          <w:sz w:val="16"/>
          <w:szCs w:val="16"/>
        </w:rPr>
        <w:t xml:space="preserve"> </w:t>
      </w:r>
      <w:r w:rsidRPr="00C11F92">
        <w:rPr>
          <w:sz w:val="16"/>
          <w:szCs w:val="16"/>
        </w:rPr>
        <w:t xml:space="preserve">hangi derslerden yeterlilik sınavı açılıp açılmayacağı ders koordinatörünün önerisi üzerine </w:t>
      </w:r>
    </w:p>
    <w:p w:rsidR="00C11F92" w:rsidRDefault="00C11F92" w:rsidP="00C11F92">
      <w:pPr>
        <w:jc w:val="both"/>
        <w:rPr>
          <w:sz w:val="16"/>
          <w:szCs w:val="16"/>
        </w:rPr>
      </w:pPr>
      <w:r w:rsidRPr="00C11F92">
        <w:rPr>
          <w:sz w:val="16"/>
          <w:szCs w:val="16"/>
        </w:rPr>
        <w:t>bölüm/enstitü kurulu tarafından karara bağlanır.</w:t>
      </w:r>
      <w:r>
        <w:rPr>
          <w:sz w:val="16"/>
          <w:szCs w:val="16"/>
        </w:rPr>
        <w:t xml:space="preserve"> </w:t>
      </w:r>
      <w:r w:rsidRPr="00C11F92">
        <w:rPr>
          <w:sz w:val="16"/>
          <w:szCs w:val="16"/>
        </w:rPr>
        <w:t>Önceden kazanılmış yeterliliklerin tanınması sureti ile laboratuvar, atölye, tez, bitirme çalışması,</w:t>
      </w:r>
      <w:r>
        <w:rPr>
          <w:sz w:val="16"/>
          <w:szCs w:val="16"/>
        </w:rPr>
        <w:t xml:space="preserve"> </w:t>
      </w:r>
      <w:r w:rsidRPr="00C11F92">
        <w:rPr>
          <w:sz w:val="16"/>
          <w:szCs w:val="16"/>
        </w:rPr>
        <w:t>yönlendirilmiş çalışma, tasarım ve proje gibi dersler için tanınma başvurusu kabul edilmez.</w:t>
      </w:r>
    </w:p>
    <w:p w:rsidR="00C11F92" w:rsidRPr="00C11F92" w:rsidRDefault="00C11F92" w:rsidP="00C11F92">
      <w:pPr>
        <w:jc w:val="both"/>
        <w:rPr>
          <w:sz w:val="16"/>
          <w:szCs w:val="16"/>
        </w:rPr>
      </w:pPr>
      <w:r w:rsidRPr="00C11F92">
        <w:rPr>
          <w:sz w:val="16"/>
          <w:szCs w:val="16"/>
        </w:rPr>
        <w:t xml:space="preserve">(5) Bu yönergenin Madde 2 - (1) a ve b ‘de bahsi geçen tanıma yaklaşımları ile en fazla toplam </w:t>
      </w:r>
      <w:r>
        <w:rPr>
          <w:sz w:val="16"/>
          <w:szCs w:val="16"/>
        </w:rPr>
        <w:t xml:space="preserve"> </w:t>
      </w:r>
      <w:r w:rsidRPr="00C11F92">
        <w:rPr>
          <w:sz w:val="16"/>
          <w:szCs w:val="16"/>
        </w:rPr>
        <w:t>15 AKTS kredilik ders tanınabilir.</w:t>
      </w:r>
      <w:r w:rsidRPr="00C11F92">
        <w:rPr>
          <w:sz w:val="16"/>
          <w:szCs w:val="16"/>
        </w:rPr>
        <w:cr/>
      </w:r>
      <w:r w:rsidRPr="00C11F92">
        <w:rPr>
          <w:b/>
          <w:sz w:val="16"/>
          <w:szCs w:val="16"/>
        </w:rPr>
        <w:t>(</w:t>
      </w:r>
      <w:r w:rsidRPr="00C11F92">
        <w:rPr>
          <w:sz w:val="16"/>
          <w:szCs w:val="16"/>
        </w:rPr>
        <w:t xml:space="preserve">6) Yeterlilik değerlendirmesinde başarılı olmak için, ön lisans ve lisans derslerinde %65; </w:t>
      </w:r>
      <w:r>
        <w:rPr>
          <w:sz w:val="16"/>
          <w:szCs w:val="16"/>
        </w:rPr>
        <w:t xml:space="preserve"> </w:t>
      </w:r>
      <w:r w:rsidRPr="00C11F92">
        <w:rPr>
          <w:sz w:val="16"/>
          <w:szCs w:val="16"/>
        </w:rPr>
        <w:t>lisansüstü derslerinde ise %75 başarılı şartı aranır. Başarılı bulunup kredilendirilen önceki öğrenmeler için MU notu verilir. MU notlu dersler krediden say</w:t>
      </w:r>
      <w:r>
        <w:rPr>
          <w:sz w:val="16"/>
          <w:szCs w:val="16"/>
        </w:rPr>
        <w:t xml:space="preserve">ılır fakat ağırlıklı ortalamaya </w:t>
      </w:r>
      <w:r w:rsidRPr="00C11F92">
        <w:rPr>
          <w:sz w:val="16"/>
          <w:szCs w:val="16"/>
        </w:rPr>
        <w:t>katılmaz. Başarılı olmayanlara ise YZ notu verilir. Alınan son not geçerli olur.</w:t>
      </w:r>
    </w:p>
    <w:p w:rsidR="00C11F92" w:rsidRPr="00C11F92" w:rsidRDefault="00C11F92" w:rsidP="00C11F92">
      <w:pPr>
        <w:jc w:val="both"/>
        <w:rPr>
          <w:sz w:val="16"/>
          <w:szCs w:val="16"/>
        </w:rPr>
      </w:pPr>
      <w:r w:rsidRPr="00C11F92">
        <w:rPr>
          <w:sz w:val="16"/>
          <w:szCs w:val="16"/>
        </w:rPr>
        <w:t>(7) Yapılan tanınma sonuçlarına itiraz süresi, ilanı müteakip beş iş günüdür.</w:t>
      </w:r>
      <w:r w:rsidRPr="00C11F92">
        <w:rPr>
          <w:sz w:val="16"/>
          <w:szCs w:val="16"/>
        </w:rPr>
        <w:cr/>
      </w:r>
      <w:r w:rsidRPr="00C11F92">
        <w:rPr>
          <w:b/>
          <w:sz w:val="16"/>
          <w:szCs w:val="16"/>
        </w:rPr>
        <w:t xml:space="preserve">Başvuru değerlendirmelerinin ve sınavların uygulanma şekillerinin ilanı: </w:t>
      </w:r>
      <w:r w:rsidR="007C26B4">
        <w:rPr>
          <w:b/>
          <w:sz w:val="16"/>
          <w:szCs w:val="16"/>
        </w:rPr>
        <w:t>8</w:t>
      </w:r>
      <w:r w:rsidRPr="00C11F92">
        <w:rPr>
          <w:b/>
          <w:sz w:val="16"/>
          <w:szCs w:val="16"/>
        </w:rPr>
        <w:t>-1</w:t>
      </w:r>
      <w:r w:rsidR="007C26B4">
        <w:rPr>
          <w:b/>
          <w:sz w:val="16"/>
          <w:szCs w:val="16"/>
        </w:rPr>
        <w:t>1</w:t>
      </w:r>
      <w:r w:rsidRPr="00C11F92">
        <w:rPr>
          <w:b/>
          <w:sz w:val="16"/>
          <w:szCs w:val="16"/>
        </w:rPr>
        <w:t xml:space="preserve"> Eylül 201</w:t>
      </w:r>
      <w:r w:rsidR="007C26B4">
        <w:rPr>
          <w:b/>
          <w:sz w:val="16"/>
          <w:szCs w:val="16"/>
        </w:rPr>
        <w:t>5</w:t>
      </w:r>
      <w:r w:rsidRPr="00C11F92">
        <w:rPr>
          <w:b/>
          <w:sz w:val="16"/>
          <w:szCs w:val="16"/>
        </w:rPr>
        <w:t xml:space="preserve"> </w:t>
      </w:r>
    </w:p>
    <w:p w:rsidR="00C11F92" w:rsidRPr="00C11F92" w:rsidRDefault="00C11F92" w:rsidP="00C11F92">
      <w:pPr>
        <w:jc w:val="both"/>
        <w:rPr>
          <w:b/>
          <w:sz w:val="16"/>
          <w:szCs w:val="16"/>
        </w:rPr>
      </w:pPr>
      <w:r w:rsidRPr="00C11F92">
        <w:rPr>
          <w:b/>
          <w:sz w:val="16"/>
          <w:szCs w:val="16"/>
        </w:rPr>
        <w:t>Sınavların uygulanması: 1</w:t>
      </w:r>
      <w:r w:rsidR="007C26B4">
        <w:rPr>
          <w:b/>
          <w:sz w:val="16"/>
          <w:szCs w:val="16"/>
        </w:rPr>
        <w:t>5</w:t>
      </w:r>
      <w:r w:rsidRPr="00C11F92">
        <w:rPr>
          <w:b/>
          <w:sz w:val="16"/>
          <w:szCs w:val="16"/>
        </w:rPr>
        <w:t>-17 Eylül 201</w:t>
      </w:r>
      <w:r w:rsidR="007C26B4">
        <w:rPr>
          <w:b/>
          <w:sz w:val="16"/>
          <w:szCs w:val="16"/>
        </w:rPr>
        <w:t>5</w:t>
      </w:r>
    </w:p>
    <w:p w:rsidR="00C11F92" w:rsidRPr="00C11F92" w:rsidRDefault="007C26B4" w:rsidP="00C11F92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Sonuçların ilanı: 18 Eylül 2015</w:t>
      </w:r>
    </w:p>
    <w:sectPr w:rsidR="00C11F92" w:rsidRPr="00C11F92" w:rsidSect="004E0B11">
      <w:pgSz w:w="11906" w:h="16838"/>
      <w:pgMar w:top="567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0F5" w:rsidRDefault="00F720F5" w:rsidP="00564168">
      <w:r>
        <w:separator/>
      </w:r>
    </w:p>
  </w:endnote>
  <w:endnote w:type="continuationSeparator" w:id="0">
    <w:p w:rsidR="00F720F5" w:rsidRDefault="00F720F5" w:rsidP="0056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0F5" w:rsidRDefault="00F720F5" w:rsidP="00564168">
      <w:r>
        <w:separator/>
      </w:r>
    </w:p>
  </w:footnote>
  <w:footnote w:type="continuationSeparator" w:id="0">
    <w:p w:rsidR="00F720F5" w:rsidRDefault="00F720F5" w:rsidP="00564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91C54"/>
    <w:multiLevelType w:val="hybridMultilevel"/>
    <w:tmpl w:val="116E1C6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A0569"/>
    <w:multiLevelType w:val="hybridMultilevel"/>
    <w:tmpl w:val="6F48854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3C34061"/>
    <w:multiLevelType w:val="hybridMultilevel"/>
    <w:tmpl w:val="1402036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1D7A"/>
    <w:rsid w:val="00097D19"/>
    <w:rsid w:val="000E5878"/>
    <w:rsid w:val="00110B3E"/>
    <w:rsid w:val="00140338"/>
    <w:rsid w:val="00161428"/>
    <w:rsid w:val="00163E19"/>
    <w:rsid w:val="001A2731"/>
    <w:rsid w:val="002B45D2"/>
    <w:rsid w:val="002D03ED"/>
    <w:rsid w:val="002E5AEC"/>
    <w:rsid w:val="003179D1"/>
    <w:rsid w:val="0032586F"/>
    <w:rsid w:val="00340134"/>
    <w:rsid w:val="004434E0"/>
    <w:rsid w:val="004E0B11"/>
    <w:rsid w:val="00564168"/>
    <w:rsid w:val="005728D7"/>
    <w:rsid w:val="0058416A"/>
    <w:rsid w:val="00673EBD"/>
    <w:rsid w:val="0068319C"/>
    <w:rsid w:val="00721D7A"/>
    <w:rsid w:val="00790EB6"/>
    <w:rsid w:val="00791590"/>
    <w:rsid w:val="007C26B4"/>
    <w:rsid w:val="007D45AE"/>
    <w:rsid w:val="008C7C34"/>
    <w:rsid w:val="00945187"/>
    <w:rsid w:val="00966220"/>
    <w:rsid w:val="009C0D59"/>
    <w:rsid w:val="009F309C"/>
    <w:rsid w:val="00A4508D"/>
    <w:rsid w:val="00A70FFF"/>
    <w:rsid w:val="00AA151B"/>
    <w:rsid w:val="00AB22A2"/>
    <w:rsid w:val="00AB500F"/>
    <w:rsid w:val="00C05DE5"/>
    <w:rsid w:val="00C11F92"/>
    <w:rsid w:val="00C469F9"/>
    <w:rsid w:val="00C85087"/>
    <w:rsid w:val="00C85E55"/>
    <w:rsid w:val="00D80BC2"/>
    <w:rsid w:val="00E127E1"/>
    <w:rsid w:val="00E37FAF"/>
    <w:rsid w:val="00E61E92"/>
    <w:rsid w:val="00EC1211"/>
    <w:rsid w:val="00ED113C"/>
    <w:rsid w:val="00ED3A88"/>
    <w:rsid w:val="00EE0561"/>
    <w:rsid w:val="00F21442"/>
    <w:rsid w:val="00F3267E"/>
    <w:rsid w:val="00F40FB1"/>
    <w:rsid w:val="00F7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018185D5"/>
  <w15:docId w15:val="{27C6C0FF-BC3D-4946-A51F-0630F2E5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D7A"/>
    <w:rPr>
      <w:szCs w:val="24"/>
    </w:rPr>
  </w:style>
  <w:style w:type="paragraph" w:styleId="Balk2">
    <w:name w:val="heading 2"/>
    <w:basedOn w:val="Normal"/>
    <w:next w:val="Normal"/>
    <w:link w:val="Balk2Char"/>
    <w:qFormat/>
    <w:rsid w:val="00721D7A"/>
    <w:pPr>
      <w:keepNext/>
      <w:jc w:val="both"/>
      <w:outlineLvl w:val="1"/>
    </w:pPr>
    <w:rPr>
      <w:rFonts w:ascii="Arial" w:hAnsi="Arial"/>
      <w:b/>
      <w:bCs/>
      <w:sz w:val="24"/>
    </w:rPr>
  </w:style>
  <w:style w:type="paragraph" w:styleId="Balk4">
    <w:name w:val="heading 4"/>
    <w:basedOn w:val="Normal"/>
    <w:next w:val="Normal"/>
    <w:qFormat/>
    <w:rsid w:val="00721D7A"/>
    <w:pPr>
      <w:keepNext/>
      <w:jc w:val="both"/>
      <w:outlineLvl w:val="3"/>
    </w:pPr>
    <w:rPr>
      <w:rFonts w:ascii="Arial" w:hAnsi="Arial" w:cs="Arial"/>
      <w:sz w:val="24"/>
    </w:rPr>
  </w:style>
  <w:style w:type="paragraph" w:styleId="Balk6">
    <w:name w:val="heading 6"/>
    <w:basedOn w:val="Normal"/>
    <w:next w:val="Normal"/>
    <w:qFormat/>
    <w:rsid w:val="00721D7A"/>
    <w:pPr>
      <w:keepNext/>
      <w:outlineLvl w:val="5"/>
    </w:pPr>
    <w:rPr>
      <w:rFonts w:ascii="Arial" w:hAnsi="Arial" w:cs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721D7A"/>
    <w:pPr>
      <w:jc w:val="both"/>
    </w:pPr>
    <w:rPr>
      <w:rFonts w:ascii="Arial" w:hAnsi="Arial" w:cs="Arial"/>
      <w:sz w:val="24"/>
    </w:rPr>
  </w:style>
  <w:style w:type="table" w:styleId="TabloKlavuzu">
    <w:name w:val="Table Grid"/>
    <w:basedOn w:val="NormalTablo"/>
    <w:rsid w:val="00D80B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k2Char">
    <w:name w:val="Başlık 2 Char"/>
    <w:link w:val="Balk2"/>
    <w:rsid w:val="00F3267E"/>
    <w:rPr>
      <w:rFonts w:ascii="Arial" w:hAnsi="Arial" w:cs="Arial"/>
      <w:b/>
      <w:bCs/>
      <w:sz w:val="24"/>
      <w:szCs w:val="24"/>
    </w:rPr>
  </w:style>
  <w:style w:type="paragraph" w:styleId="stBilgi">
    <w:name w:val="header"/>
    <w:basedOn w:val="Normal"/>
    <w:link w:val="stBilgiChar"/>
    <w:rsid w:val="005641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564168"/>
    <w:rPr>
      <w:szCs w:val="24"/>
    </w:rPr>
  </w:style>
  <w:style w:type="paragraph" w:styleId="AltBilgi">
    <w:name w:val="footer"/>
    <w:basedOn w:val="Normal"/>
    <w:link w:val="AltBilgiChar"/>
    <w:rsid w:val="005641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56416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Kayıt Dondurma</vt:lpstr>
    </vt:vector>
  </TitlesOfParts>
  <Company>KOCAMAZ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Kayıt Dondurma</dc:title>
  <dc:creator>Uğur Erkin KOCAMAZ</dc:creator>
  <cp:lastModifiedBy>compaq</cp:lastModifiedBy>
  <cp:revision>3</cp:revision>
  <cp:lastPrinted>2014-09-02T08:24:00Z</cp:lastPrinted>
  <dcterms:created xsi:type="dcterms:W3CDTF">2016-02-08T13:11:00Z</dcterms:created>
  <dcterms:modified xsi:type="dcterms:W3CDTF">2016-06-13T20:42:00Z</dcterms:modified>
</cp:coreProperties>
</file>